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DC" w:rsidRDefault="009D69E1" w:rsidP="002A4BA0">
      <w:pPr>
        <w:pStyle w:val="Title"/>
      </w:pPr>
      <w:r>
        <w:rPr>
          <w:noProof/>
          <w:lang w:eastAsia="en-NZ"/>
        </w:rPr>
        <w:drawing>
          <wp:anchor distT="0" distB="0" distL="114300" distR="114300" simplePos="0" relativeHeight="251661824" behindDoc="1" locked="0" layoutInCell="1" allowOverlap="1" wp14:anchorId="363D62B6" wp14:editId="78C62970">
            <wp:simplePos x="0" y="0"/>
            <wp:positionH relativeFrom="page">
              <wp:posOffset>247650</wp:posOffset>
            </wp:positionH>
            <wp:positionV relativeFrom="page">
              <wp:posOffset>701261</wp:posOffset>
            </wp:positionV>
            <wp:extent cx="10205720" cy="88519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ity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05720" cy="885190"/>
                    </a:xfrm>
                    <a:prstGeom prst="rect">
                      <a:avLst/>
                    </a:prstGeom>
                  </pic:spPr>
                </pic:pic>
              </a:graphicData>
            </a:graphic>
            <wp14:sizeRelH relativeFrom="margin">
              <wp14:pctWidth>0</wp14:pctWidth>
            </wp14:sizeRelH>
            <wp14:sizeRelV relativeFrom="margin">
              <wp14:pctHeight>0</wp14:pctHeight>
            </wp14:sizeRelV>
          </wp:anchor>
        </w:drawing>
      </w:r>
      <w:r w:rsidR="008C2494">
        <w:t xml:space="preserve">CCDM </w:t>
      </w:r>
      <w:r w:rsidR="00235BBD">
        <w:t>s</w:t>
      </w:r>
      <w:r w:rsidR="00E80D49">
        <w:t xml:space="preserve">tandards </w:t>
      </w:r>
      <w:r w:rsidR="00235BBD">
        <w:t>a</w:t>
      </w:r>
      <w:r w:rsidR="00E80D49">
        <w:t>ssessment</w:t>
      </w:r>
      <w:r w:rsidR="006E5726">
        <w:t xml:space="preserve"> </w:t>
      </w:r>
      <w:r w:rsidR="00235BBD">
        <w:t>f</w:t>
      </w:r>
      <w:r w:rsidR="006E5726">
        <w:t>orm</w:t>
      </w:r>
    </w:p>
    <w:p w:rsidR="00E80D49" w:rsidRDefault="00235BBD" w:rsidP="00E80D49">
      <w:pPr>
        <w:rPr>
          <w:b/>
          <w:sz w:val="24"/>
        </w:rPr>
      </w:pPr>
      <w:r>
        <w:rPr>
          <w:color w:val="A79F53"/>
          <w:sz w:val="28"/>
          <w:szCs w:val="28"/>
        </w:rPr>
        <w:t>CCDM council</w:t>
      </w:r>
      <w:r w:rsidR="00E80D49" w:rsidRPr="00E80D49">
        <w:rPr>
          <w:color w:val="A79F53"/>
          <w:sz w:val="28"/>
          <w:szCs w:val="28"/>
        </w:rPr>
        <w:t>:</w:t>
      </w:r>
      <w:r w:rsidR="00E80D49">
        <w:rPr>
          <w:b/>
          <w:sz w:val="24"/>
        </w:rPr>
        <w:t xml:space="preserve"> </w:t>
      </w:r>
      <w:r w:rsidR="00F20150" w:rsidRPr="00F20150">
        <w:rPr>
          <w:sz w:val="24"/>
        </w:rPr>
        <w:t>Capital and Coast DHB</w:t>
      </w:r>
      <w:r w:rsidR="00E80D49" w:rsidRPr="00F20150">
        <w:rPr>
          <w:sz w:val="24"/>
        </w:rPr>
        <w:tab/>
      </w:r>
      <w:r w:rsidR="00E80D49">
        <w:rPr>
          <w:sz w:val="24"/>
        </w:rPr>
        <w:tab/>
      </w:r>
      <w:r w:rsidR="00E80D49">
        <w:rPr>
          <w:sz w:val="24"/>
        </w:rPr>
        <w:tab/>
      </w:r>
      <w:r w:rsidR="00E80D49">
        <w:rPr>
          <w:sz w:val="24"/>
        </w:rPr>
        <w:tab/>
      </w:r>
      <w:r w:rsidR="00E80D49">
        <w:rPr>
          <w:sz w:val="24"/>
        </w:rPr>
        <w:tab/>
      </w:r>
      <w:r w:rsidR="00E80D49">
        <w:rPr>
          <w:sz w:val="24"/>
        </w:rPr>
        <w:tab/>
      </w:r>
      <w:r w:rsidR="00E80D49">
        <w:rPr>
          <w:sz w:val="24"/>
        </w:rPr>
        <w:tab/>
        <w:t xml:space="preserve"> </w:t>
      </w:r>
      <w:r w:rsidR="00E80D49" w:rsidRPr="00E80D49">
        <w:rPr>
          <w:color w:val="A79F53"/>
          <w:sz w:val="28"/>
          <w:szCs w:val="28"/>
        </w:rPr>
        <w:t xml:space="preserve">CCDM </w:t>
      </w:r>
      <w:r>
        <w:rPr>
          <w:color w:val="A79F53"/>
          <w:sz w:val="28"/>
          <w:szCs w:val="28"/>
        </w:rPr>
        <w:t>s</w:t>
      </w:r>
      <w:r w:rsidR="00E80D49" w:rsidRPr="00E80D49">
        <w:rPr>
          <w:color w:val="A79F53"/>
          <w:sz w:val="28"/>
          <w:szCs w:val="28"/>
        </w:rPr>
        <w:t xml:space="preserve">tart </w:t>
      </w:r>
      <w:r>
        <w:rPr>
          <w:color w:val="A79F53"/>
          <w:sz w:val="28"/>
          <w:szCs w:val="28"/>
        </w:rPr>
        <w:t>d</w:t>
      </w:r>
      <w:r w:rsidR="00E80D49" w:rsidRPr="00E80D49">
        <w:rPr>
          <w:color w:val="A79F53"/>
          <w:sz w:val="28"/>
          <w:szCs w:val="28"/>
        </w:rPr>
        <w:t>ate:</w:t>
      </w:r>
      <w:r w:rsidR="00E80D49">
        <w:rPr>
          <w:b/>
          <w:sz w:val="24"/>
        </w:rPr>
        <w:t xml:space="preserve"> </w:t>
      </w:r>
      <w:r w:rsidR="00F20150" w:rsidRPr="00F20150">
        <w:rPr>
          <w:sz w:val="24"/>
        </w:rPr>
        <w:t>October 2016</w:t>
      </w:r>
    </w:p>
    <w:p w:rsidR="00E80D49" w:rsidRPr="00E80D49" w:rsidRDefault="00E80D49" w:rsidP="00E80D49">
      <w:pPr>
        <w:pStyle w:val="Heading1"/>
      </w:pPr>
      <w:r w:rsidRPr="00E80D49">
        <w:t>Purpose</w:t>
      </w:r>
    </w:p>
    <w:p w:rsidR="00E80D49" w:rsidRDefault="00E80D49" w:rsidP="00E80D49">
      <w:r>
        <w:t xml:space="preserve">This document provides a tool for a partnership assessment against the CCDM Programme </w:t>
      </w:r>
      <w:r w:rsidR="00235BBD">
        <w:t>s</w:t>
      </w:r>
      <w:r>
        <w:t xml:space="preserve">tandards. Completing the assessment will provide evidence of the degree to which the </w:t>
      </w:r>
      <w:r w:rsidR="00235BBD">
        <w:t>s</w:t>
      </w:r>
      <w:r>
        <w:t>tandards have been attained from; not attained (NA), partially attained (PA), and fully attained (FA) to business as usual (BAU). The degree of attainment can in turn b</w:t>
      </w:r>
      <w:r w:rsidR="00B8266B">
        <w:t>e used to develop the CCDM work</w:t>
      </w:r>
      <w:r w:rsidR="00126E82">
        <w:t xml:space="preserve"> </w:t>
      </w:r>
      <w:r>
        <w:t>plan.</w:t>
      </w:r>
      <w:r w:rsidRPr="00A72A18">
        <w:t xml:space="preserve"> </w:t>
      </w:r>
    </w:p>
    <w:p w:rsidR="00E80D49" w:rsidRDefault="00E80D49" w:rsidP="00E80D49">
      <w:r>
        <w:t xml:space="preserve">The assessment can be completed prior to engaging with the CCDM Programme, during the programme or as an assessment for </w:t>
      </w:r>
      <w:r w:rsidR="008F1BD0">
        <w:t>completion of the programme</w:t>
      </w:r>
      <w:r>
        <w:t xml:space="preserve"> (or anytime in between to assess progress with implementation).  Completed assessments will be reviewed by the CCDM </w:t>
      </w:r>
      <w:r w:rsidR="00235BBD">
        <w:t>c</w:t>
      </w:r>
      <w:r>
        <w:t>ouncil, Safe Staffing Healthy Workplaces Unit and the SSHW Governance Group.</w:t>
      </w:r>
    </w:p>
    <w:p w:rsidR="00E80D49" w:rsidRDefault="00E80D49" w:rsidP="00E80D49">
      <w:pPr>
        <w:pStyle w:val="Heading1"/>
      </w:pPr>
      <w:r w:rsidRPr="00E80D49">
        <w:t>Instructions</w:t>
      </w:r>
      <w:r>
        <w:t xml:space="preserve"> </w:t>
      </w:r>
    </w:p>
    <w:p w:rsidR="00E80D49" w:rsidRDefault="00E80D49" w:rsidP="00E80D49">
      <w:pPr>
        <w:pStyle w:val="ListParagraph"/>
        <w:numPr>
          <w:ilvl w:val="0"/>
          <w:numId w:val="7"/>
        </w:numPr>
        <w:spacing w:after="200"/>
        <w:jc w:val="left"/>
      </w:pPr>
      <w:r>
        <w:t xml:space="preserve">Use the assessment tool in conjunction with the CCDM Programme </w:t>
      </w:r>
      <w:r w:rsidR="00235BBD">
        <w:t>s</w:t>
      </w:r>
      <w:r>
        <w:t xml:space="preserve">tandards.  Complete the assessment as an individual, team or group e.g. CCDM </w:t>
      </w:r>
      <w:r w:rsidR="007F1935">
        <w:t>c</w:t>
      </w:r>
      <w:r>
        <w:t>ouncil.</w:t>
      </w:r>
    </w:p>
    <w:p w:rsidR="00961F09" w:rsidRDefault="00E80D49" w:rsidP="00E80D49">
      <w:pPr>
        <w:pStyle w:val="ListParagraph"/>
        <w:numPr>
          <w:ilvl w:val="0"/>
          <w:numId w:val="7"/>
        </w:numPr>
        <w:spacing w:after="200"/>
        <w:jc w:val="left"/>
      </w:pPr>
      <w:r>
        <w:t xml:space="preserve">Start at the beginning and work your way through each standard and each of the criterion. </w:t>
      </w:r>
    </w:p>
    <w:p w:rsidR="00E80D49" w:rsidRDefault="00E80D49" w:rsidP="00961F09">
      <w:pPr>
        <w:pStyle w:val="ListParagraph"/>
        <w:spacing w:after="200"/>
        <w:jc w:val="left"/>
      </w:pPr>
      <w:r>
        <w:t>Note</w:t>
      </w:r>
      <w:r w:rsidR="00961F09">
        <w:t>:</w:t>
      </w:r>
      <w:r>
        <w:t xml:space="preserve"> CCDM Programme terminology is used throughout the document. </w:t>
      </w:r>
      <w:r w:rsidR="00961F09">
        <w:t>CCDM councils</w:t>
      </w:r>
      <w:r>
        <w:t xml:space="preserve"> may not use the same terminology but should have an equivalent e.g. </w:t>
      </w:r>
      <w:r w:rsidR="00235BBD">
        <w:t>l</w:t>
      </w:r>
      <w:r>
        <w:t xml:space="preserve">ocal </w:t>
      </w:r>
      <w:r w:rsidR="00235BBD">
        <w:t>d</w:t>
      </w:r>
      <w:r>
        <w:t xml:space="preserve">ata </w:t>
      </w:r>
      <w:r w:rsidR="00235BBD">
        <w:t>c</w:t>
      </w:r>
      <w:r>
        <w:t>ouncil may be called another name.</w:t>
      </w:r>
    </w:p>
    <w:p w:rsidR="00E80D49" w:rsidRDefault="00E80D49" w:rsidP="00E80D49">
      <w:pPr>
        <w:pStyle w:val="ListParagraph"/>
        <w:numPr>
          <w:ilvl w:val="0"/>
          <w:numId w:val="7"/>
        </w:numPr>
        <w:spacing w:after="200"/>
        <w:jc w:val="left"/>
      </w:pPr>
      <w:r>
        <w:t>For each criterion, describe how the DHB meets the criteria (and the overall standard).</w:t>
      </w:r>
    </w:p>
    <w:p w:rsidR="00E80D49" w:rsidRDefault="00E80D49" w:rsidP="00E80D49">
      <w:pPr>
        <w:pStyle w:val="ListParagraph"/>
        <w:numPr>
          <w:ilvl w:val="0"/>
          <w:numId w:val="7"/>
        </w:numPr>
        <w:spacing w:after="200"/>
        <w:jc w:val="left"/>
      </w:pPr>
      <w:r>
        <w:t xml:space="preserve">Provide examples of evidence from each level of the organisation – executive, directorate (or services) and ward/unit. Examples of evidence should include what people have said, what is written in documents (e.g. meeting minutes, TOR, action plans, policies &amp; procedures, standard operating procedures) and what is observed in practice (i.e. processes followed). </w:t>
      </w:r>
    </w:p>
    <w:p w:rsidR="00E80D49" w:rsidRPr="00BF12C2" w:rsidRDefault="00E80D49" w:rsidP="00E80D49">
      <w:pPr>
        <w:pStyle w:val="ListParagraph"/>
        <w:numPr>
          <w:ilvl w:val="0"/>
          <w:numId w:val="7"/>
        </w:numPr>
        <w:spacing w:after="200"/>
        <w:jc w:val="left"/>
      </w:pPr>
      <w:r>
        <w:t>Collate all respondents’ evidence into one document. Respondents must include DHB and health union partners.</w:t>
      </w:r>
      <w:r w:rsidRPr="0087497B">
        <w:rPr>
          <w:color w:val="967F71" w:themeColor="text2" w:themeTint="99"/>
        </w:rPr>
        <w:t xml:space="preserve"> </w:t>
      </w:r>
      <w:r w:rsidRPr="00BF12C2">
        <w:t xml:space="preserve">The SSHW Unit </w:t>
      </w:r>
      <w:r w:rsidR="00235BBD">
        <w:t>P</w:t>
      </w:r>
      <w:r w:rsidRPr="00BF12C2">
        <w:t xml:space="preserve">rogramme </w:t>
      </w:r>
      <w:r w:rsidR="00235BBD">
        <w:t>C</w:t>
      </w:r>
      <w:r w:rsidRPr="00BF12C2">
        <w:t xml:space="preserve">onsultant can support evidence collection and/or collation of information.  </w:t>
      </w:r>
    </w:p>
    <w:p w:rsidR="00E80D49" w:rsidRDefault="00E80D49" w:rsidP="00E80D49">
      <w:pPr>
        <w:pStyle w:val="ListParagraph"/>
        <w:numPr>
          <w:ilvl w:val="0"/>
          <w:numId w:val="7"/>
        </w:numPr>
        <w:spacing w:after="200"/>
        <w:jc w:val="left"/>
      </w:pPr>
      <w:r>
        <w:t xml:space="preserve">Submit the completed document for discussion at the CCDM </w:t>
      </w:r>
      <w:r w:rsidR="00235BBD">
        <w:t>c</w:t>
      </w:r>
      <w:r>
        <w:t>ouncil.</w:t>
      </w:r>
    </w:p>
    <w:p w:rsidR="00E80D49" w:rsidRDefault="00E80D49" w:rsidP="00E80D49">
      <w:pPr>
        <w:pStyle w:val="ListParagraph"/>
        <w:numPr>
          <w:ilvl w:val="0"/>
          <w:numId w:val="7"/>
        </w:numPr>
        <w:spacing w:after="200"/>
        <w:jc w:val="left"/>
      </w:pPr>
      <w:r>
        <w:t xml:space="preserve">Note the </w:t>
      </w:r>
      <w:r w:rsidR="00235BBD">
        <w:t>s</w:t>
      </w:r>
      <w:r>
        <w:t xml:space="preserve">taffing </w:t>
      </w:r>
      <w:r w:rsidR="00235BBD">
        <w:t>m</w:t>
      </w:r>
      <w:r>
        <w:t xml:space="preserve">ethodology </w:t>
      </w:r>
      <w:r w:rsidR="00235BBD">
        <w:t>s</w:t>
      </w:r>
      <w:r>
        <w:t>tandard is for in-patient only areas</w:t>
      </w:r>
      <w:r w:rsidR="006E5726">
        <w:t>.</w:t>
      </w:r>
    </w:p>
    <w:p w:rsidR="00E80D49" w:rsidRDefault="00E80D49" w:rsidP="00E80D49">
      <w:pPr>
        <w:spacing w:line="240" w:lineRule="auto"/>
      </w:pPr>
      <w:r>
        <w:lastRenderedPageBreak/>
        <w:t xml:space="preserve">Signed by </w:t>
      </w:r>
      <w:r>
        <w:tab/>
      </w:r>
      <w:r w:rsidR="007A47B6" w:rsidRPr="007A47B6">
        <w:rPr>
          <w:b/>
        </w:rPr>
        <w:t xml:space="preserve">Please see additional </w:t>
      </w:r>
      <w:r w:rsidR="002749DA">
        <w:rPr>
          <w:b/>
        </w:rPr>
        <w:t>document</w:t>
      </w:r>
      <w:bookmarkStart w:id="0" w:name="_GoBack"/>
      <w:bookmarkEnd w:id="0"/>
      <w:r w:rsidR="007A47B6" w:rsidRPr="007A47B6">
        <w:rPr>
          <w:b/>
        </w:rPr>
        <w:t xml:space="preserve"> for signed pages</w:t>
      </w:r>
      <w:r>
        <w:tab/>
      </w:r>
      <w:r>
        <w:tab/>
      </w:r>
      <w:r>
        <w:tab/>
      </w:r>
      <w:r>
        <w:tab/>
      </w:r>
      <w:r>
        <w:tab/>
      </w:r>
      <w:r>
        <w:tab/>
      </w:r>
      <w:r>
        <w:tab/>
      </w:r>
      <w:r>
        <w:tab/>
        <w:t xml:space="preserve">Date:    </w:t>
      </w:r>
      <w:r w:rsidR="008B1C02">
        <w:t>09</w:t>
      </w:r>
      <w:r>
        <w:t xml:space="preserve"> </w:t>
      </w:r>
      <w:r w:rsidR="008B1C02">
        <w:rPr>
          <w:color w:val="808080" w:themeColor="background1" w:themeShade="80"/>
        </w:rPr>
        <w:t>/</w:t>
      </w:r>
      <w:r w:rsidR="008B1C02">
        <w:t xml:space="preserve">06 </w:t>
      </w:r>
      <w:r w:rsidR="008B1C02">
        <w:rPr>
          <w:color w:val="808080" w:themeColor="background1" w:themeShade="80"/>
        </w:rPr>
        <w:t>/</w:t>
      </w:r>
      <w:r>
        <w:t>20</w:t>
      </w:r>
      <w:r w:rsidR="008B1C02">
        <w:t>20</w:t>
      </w:r>
    </w:p>
    <w:tbl>
      <w:tblPr>
        <w:tblStyle w:val="TableGrid"/>
        <w:tblW w:w="0" w:type="auto"/>
        <w:tblLook w:val="04A0" w:firstRow="1" w:lastRow="0" w:firstColumn="1" w:lastColumn="0" w:noHBand="0" w:noVBand="1"/>
      </w:tblPr>
      <w:tblGrid>
        <w:gridCol w:w="7169"/>
        <w:gridCol w:w="7169"/>
      </w:tblGrid>
      <w:tr w:rsidR="00E80D49" w:rsidTr="000E0334">
        <w:tc>
          <w:tcPr>
            <w:tcW w:w="7169" w:type="dxa"/>
            <w:tcBorders>
              <w:top w:val="nil"/>
              <w:left w:val="nil"/>
              <w:bottom w:val="single" w:sz="4" w:space="0" w:color="auto"/>
            </w:tcBorders>
          </w:tcPr>
          <w:p w:rsidR="00E80D49" w:rsidRDefault="00E80D49" w:rsidP="000E0334">
            <w:pPr>
              <w:spacing w:before="60"/>
            </w:pPr>
            <w:r>
              <w:t>CEO</w:t>
            </w:r>
          </w:p>
        </w:tc>
        <w:tc>
          <w:tcPr>
            <w:tcW w:w="7169" w:type="dxa"/>
            <w:tcBorders>
              <w:top w:val="nil"/>
              <w:bottom w:val="single" w:sz="4" w:space="0" w:color="auto"/>
              <w:right w:val="nil"/>
            </w:tcBorders>
          </w:tcPr>
          <w:p w:rsidR="00E80D49" w:rsidRDefault="008B1C02" w:rsidP="000E0334">
            <w:pPr>
              <w:spacing w:before="60"/>
            </w:pPr>
            <w:r>
              <w:t>CNO</w:t>
            </w:r>
          </w:p>
        </w:tc>
      </w:tr>
      <w:tr w:rsidR="00E80D49" w:rsidTr="000E0334">
        <w:tc>
          <w:tcPr>
            <w:tcW w:w="7169" w:type="dxa"/>
            <w:tcBorders>
              <w:left w:val="nil"/>
            </w:tcBorders>
          </w:tcPr>
          <w:p w:rsidR="00E80D49" w:rsidRDefault="008F1BD0" w:rsidP="000E0334">
            <w:pPr>
              <w:spacing w:before="60"/>
            </w:pPr>
            <w:r>
              <w:t>Health u</w:t>
            </w:r>
            <w:r w:rsidR="00E80D49">
              <w:t>nion partner (1)</w:t>
            </w:r>
            <w:r w:rsidR="00E80D49">
              <w:tab/>
            </w:r>
            <w:r w:rsidR="00E80D49">
              <w:tab/>
            </w:r>
            <w:r w:rsidR="00E80D49">
              <w:tab/>
            </w:r>
            <w:r w:rsidR="00E80D49">
              <w:tab/>
            </w:r>
            <w:r w:rsidR="00E80D49">
              <w:tab/>
            </w:r>
          </w:p>
        </w:tc>
        <w:tc>
          <w:tcPr>
            <w:tcW w:w="7169" w:type="dxa"/>
            <w:tcBorders>
              <w:right w:val="nil"/>
            </w:tcBorders>
          </w:tcPr>
          <w:p w:rsidR="00E80D49" w:rsidRDefault="008F1BD0" w:rsidP="000E0334">
            <w:pPr>
              <w:spacing w:before="60"/>
            </w:pPr>
            <w:r>
              <w:t>Health u</w:t>
            </w:r>
            <w:r w:rsidR="00E80D49">
              <w:t>nion partner (2)</w:t>
            </w:r>
          </w:p>
        </w:tc>
      </w:tr>
      <w:tr w:rsidR="00E80D49" w:rsidTr="000E0334">
        <w:tc>
          <w:tcPr>
            <w:tcW w:w="7169" w:type="dxa"/>
            <w:tcBorders>
              <w:left w:val="nil"/>
            </w:tcBorders>
          </w:tcPr>
          <w:p w:rsidR="00E80D49" w:rsidRDefault="008F1BD0" w:rsidP="000E0334">
            <w:pPr>
              <w:spacing w:before="60"/>
            </w:pPr>
            <w:r>
              <w:t>Health u</w:t>
            </w:r>
            <w:r w:rsidR="00E80D49">
              <w:t>nion partner (3)</w:t>
            </w:r>
          </w:p>
        </w:tc>
        <w:tc>
          <w:tcPr>
            <w:tcW w:w="7169" w:type="dxa"/>
            <w:tcBorders>
              <w:right w:val="nil"/>
            </w:tcBorders>
          </w:tcPr>
          <w:p w:rsidR="00E80D49" w:rsidRDefault="00E80D49" w:rsidP="000E0334">
            <w:pPr>
              <w:spacing w:before="60"/>
            </w:pPr>
            <w:r>
              <w:t>SSHW</w:t>
            </w:r>
            <w:r w:rsidR="008F1BD0">
              <w:t xml:space="preserve"> </w:t>
            </w:r>
            <w:r>
              <w:t>U</w:t>
            </w:r>
            <w:r w:rsidR="008F1BD0">
              <w:t>nit Programme</w:t>
            </w:r>
            <w:r>
              <w:t xml:space="preserve"> Consultant</w:t>
            </w:r>
          </w:p>
        </w:tc>
      </w:tr>
    </w:tbl>
    <w:p w:rsidR="00E80D49" w:rsidRDefault="00E80D49" w:rsidP="008F1BD0">
      <w:pPr>
        <w:pStyle w:val="Heading2"/>
      </w:pPr>
      <w:r>
        <w:t xml:space="preserve">Assessment </w:t>
      </w:r>
      <w:r w:rsidR="008F1BD0">
        <w:t>c</w:t>
      </w:r>
      <w:r>
        <w:t>ontributors</w:t>
      </w:r>
    </w:p>
    <w:tbl>
      <w:tblPr>
        <w:tblStyle w:val="TableGrid"/>
        <w:tblW w:w="14337" w:type="dxa"/>
        <w:tblLook w:val="04A0" w:firstRow="1" w:lastRow="0" w:firstColumn="1" w:lastColumn="0" w:noHBand="0" w:noVBand="1"/>
      </w:tblPr>
      <w:tblGrid>
        <w:gridCol w:w="3584"/>
        <w:gridCol w:w="3584"/>
        <w:gridCol w:w="3584"/>
        <w:gridCol w:w="3585"/>
      </w:tblGrid>
      <w:tr w:rsidR="00E80D49" w:rsidTr="000E0334">
        <w:tc>
          <w:tcPr>
            <w:tcW w:w="3584" w:type="dxa"/>
          </w:tcPr>
          <w:p w:rsidR="00E80D49" w:rsidRPr="0072265B" w:rsidRDefault="00F20150" w:rsidP="00F20150">
            <w:pPr>
              <w:jc w:val="left"/>
              <w:rPr>
                <w:color w:val="A6A6A6" w:themeColor="background1" w:themeShade="A6"/>
                <w:sz w:val="24"/>
              </w:rPr>
            </w:pPr>
            <w:r w:rsidRPr="00F20150">
              <w:rPr>
                <w:sz w:val="24"/>
              </w:rPr>
              <w:t>Emma Williams</w:t>
            </w:r>
          </w:p>
        </w:tc>
        <w:tc>
          <w:tcPr>
            <w:tcW w:w="3584" w:type="dxa"/>
          </w:tcPr>
          <w:p w:rsidR="00E80D49" w:rsidRPr="00F20150" w:rsidRDefault="00F20150" w:rsidP="00F20150">
            <w:pPr>
              <w:tabs>
                <w:tab w:val="left" w:pos="990"/>
              </w:tabs>
              <w:jc w:val="left"/>
              <w:rPr>
                <w:sz w:val="24"/>
              </w:rPr>
            </w:pPr>
            <w:r w:rsidRPr="00F20150">
              <w:rPr>
                <w:sz w:val="24"/>
              </w:rPr>
              <w:t>CCDM Programme Manager</w:t>
            </w:r>
          </w:p>
        </w:tc>
        <w:tc>
          <w:tcPr>
            <w:tcW w:w="3584" w:type="dxa"/>
          </w:tcPr>
          <w:p w:rsidR="00E80D49" w:rsidRPr="0072265B" w:rsidRDefault="00F20150" w:rsidP="00F20150">
            <w:pPr>
              <w:jc w:val="left"/>
              <w:rPr>
                <w:color w:val="A6A6A6" w:themeColor="background1" w:themeShade="A6"/>
                <w:sz w:val="24"/>
              </w:rPr>
            </w:pPr>
            <w:r w:rsidRPr="00F20150">
              <w:rPr>
                <w:sz w:val="24"/>
              </w:rPr>
              <w:t>Alex Ward</w:t>
            </w:r>
          </w:p>
        </w:tc>
        <w:tc>
          <w:tcPr>
            <w:tcW w:w="3585" w:type="dxa"/>
          </w:tcPr>
          <w:p w:rsidR="00E80D49" w:rsidRPr="00F20150" w:rsidRDefault="00F20150" w:rsidP="00F20150">
            <w:pPr>
              <w:jc w:val="left"/>
              <w:rPr>
                <w:sz w:val="24"/>
              </w:rPr>
            </w:pPr>
            <w:r w:rsidRPr="00F20150">
              <w:rPr>
                <w:sz w:val="24"/>
              </w:rPr>
              <w:t>PSA Union Organiser</w:t>
            </w:r>
          </w:p>
        </w:tc>
      </w:tr>
      <w:tr w:rsidR="00E80D49" w:rsidTr="000E0334">
        <w:tc>
          <w:tcPr>
            <w:tcW w:w="3584" w:type="dxa"/>
          </w:tcPr>
          <w:p w:rsidR="00E80D49" w:rsidRPr="0072265B" w:rsidRDefault="00F20150" w:rsidP="00F20150">
            <w:pPr>
              <w:jc w:val="left"/>
              <w:rPr>
                <w:color w:val="A6A6A6" w:themeColor="background1" w:themeShade="A6"/>
                <w:sz w:val="24"/>
              </w:rPr>
            </w:pPr>
            <w:r w:rsidRPr="00F20150">
              <w:rPr>
                <w:sz w:val="24"/>
              </w:rPr>
              <w:t>Stuart Port</w:t>
            </w:r>
            <w:r w:rsidR="00E80D49" w:rsidRPr="00F20150">
              <w:rPr>
                <w:sz w:val="24"/>
              </w:rPr>
              <w:t xml:space="preserve"> </w:t>
            </w:r>
          </w:p>
        </w:tc>
        <w:tc>
          <w:tcPr>
            <w:tcW w:w="3584" w:type="dxa"/>
          </w:tcPr>
          <w:p w:rsidR="00E80D49" w:rsidRPr="00F20150" w:rsidRDefault="00F20150" w:rsidP="00F20150">
            <w:pPr>
              <w:tabs>
                <w:tab w:val="left" w:pos="975"/>
              </w:tabs>
              <w:jc w:val="left"/>
              <w:rPr>
                <w:sz w:val="24"/>
              </w:rPr>
            </w:pPr>
            <w:r w:rsidRPr="00F20150">
              <w:rPr>
                <w:sz w:val="24"/>
              </w:rPr>
              <w:t>SSHW Programme Consultant</w:t>
            </w:r>
            <w:r w:rsidRPr="00F20150">
              <w:rPr>
                <w:sz w:val="24"/>
              </w:rPr>
              <w:tab/>
            </w:r>
          </w:p>
        </w:tc>
        <w:tc>
          <w:tcPr>
            <w:tcW w:w="3584" w:type="dxa"/>
          </w:tcPr>
          <w:p w:rsidR="00E80D49" w:rsidRPr="0016676D" w:rsidRDefault="0016676D" w:rsidP="00F20150">
            <w:pPr>
              <w:jc w:val="left"/>
              <w:rPr>
                <w:sz w:val="24"/>
              </w:rPr>
            </w:pPr>
            <w:r w:rsidRPr="0016676D">
              <w:rPr>
                <w:sz w:val="24"/>
              </w:rPr>
              <w:t>Caroline Conroy</w:t>
            </w:r>
          </w:p>
        </w:tc>
        <w:tc>
          <w:tcPr>
            <w:tcW w:w="3585" w:type="dxa"/>
          </w:tcPr>
          <w:p w:rsidR="00E80D49" w:rsidRPr="0016676D" w:rsidRDefault="0016676D" w:rsidP="0016676D">
            <w:pPr>
              <w:jc w:val="left"/>
              <w:rPr>
                <w:sz w:val="24"/>
              </w:rPr>
            </w:pPr>
            <w:r w:rsidRPr="0016676D">
              <w:rPr>
                <w:sz w:val="24"/>
              </w:rPr>
              <w:t>MERAS Unions Co-Organiser</w:t>
            </w:r>
            <w:r w:rsidR="00E80D49" w:rsidRPr="0016676D">
              <w:rPr>
                <w:sz w:val="24"/>
              </w:rPr>
              <w:t xml:space="preserve"> </w:t>
            </w:r>
          </w:p>
        </w:tc>
      </w:tr>
      <w:tr w:rsidR="00E80D49" w:rsidTr="000E0334">
        <w:tc>
          <w:tcPr>
            <w:tcW w:w="3584" w:type="dxa"/>
          </w:tcPr>
          <w:p w:rsidR="00E80D49" w:rsidRPr="0072265B" w:rsidRDefault="00F20150" w:rsidP="00F20150">
            <w:pPr>
              <w:jc w:val="left"/>
              <w:rPr>
                <w:color w:val="A6A6A6" w:themeColor="background1" w:themeShade="A6"/>
                <w:sz w:val="24"/>
              </w:rPr>
            </w:pPr>
            <w:r w:rsidRPr="00F20150">
              <w:rPr>
                <w:sz w:val="24"/>
              </w:rPr>
              <w:t>Suzanne Rolls</w:t>
            </w:r>
          </w:p>
        </w:tc>
        <w:tc>
          <w:tcPr>
            <w:tcW w:w="3584" w:type="dxa"/>
          </w:tcPr>
          <w:p w:rsidR="00E80D49" w:rsidRPr="00F20150" w:rsidRDefault="00F20150" w:rsidP="00F20150">
            <w:pPr>
              <w:jc w:val="left"/>
              <w:rPr>
                <w:sz w:val="24"/>
              </w:rPr>
            </w:pPr>
            <w:r w:rsidRPr="00F20150">
              <w:rPr>
                <w:sz w:val="24"/>
              </w:rPr>
              <w:t>NZNO Professional Nursing Advisor</w:t>
            </w:r>
          </w:p>
        </w:tc>
        <w:tc>
          <w:tcPr>
            <w:tcW w:w="3584" w:type="dxa"/>
          </w:tcPr>
          <w:p w:rsidR="00E80D49" w:rsidRPr="0072265B" w:rsidRDefault="00E80D49" w:rsidP="00F20150">
            <w:pPr>
              <w:jc w:val="left"/>
              <w:rPr>
                <w:color w:val="A6A6A6" w:themeColor="background1" w:themeShade="A6"/>
                <w:sz w:val="24"/>
              </w:rPr>
            </w:pPr>
            <w:r w:rsidRPr="0072265B">
              <w:rPr>
                <w:color w:val="A6A6A6" w:themeColor="background1" w:themeShade="A6"/>
                <w:sz w:val="24"/>
              </w:rPr>
              <w:t>Name</w:t>
            </w:r>
          </w:p>
        </w:tc>
        <w:tc>
          <w:tcPr>
            <w:tcW w:w="3585" w:type="dxa"/>
          </w:tcPr>
          <w:p w:rsidR="00E80D49" w:rsidRPr="0072265B" w:rsidRDefault="00E80D49" w:rsidP="00F20150">
            <w:pPr>
              <w:jc w:val="left"/>
              <w:rPr>
                <w:color w:val="A6A6A6" w:themeColor="background1" w:themeShade="A6"/>
                <w:sz w:val="24"/>
              </w:rPr>
            </w:pPr>
            <w:r w:rsidRPr="0072265B">
              <w:rPr>
                <w:color w:val="A6A6A6" w:themeColor="background1" w:themeShade="A6"/>
                <w:sz w:val="24"/>
              </w:rPr>
              <w:t>Role</w:t>
            </w:r>
          </w:p>
        </w:tc>
      </w:tr>
      <w:tr w:rsidR="00E80D49" w:rsidTr="000E0334">
        <w:tc>
          <w:tcPr>
            <w:tcW w:w="3584" w:type="dxa"/>
          </w:tcPr>
          <w:p w:rsidR="00E80D49" w:rsidRPr="0072265B" w:rsidRDefault="00F20150" w:rsidP="00F20150">
            <w:pPr>
              <w:jc w:val="left"/>
              <w:rPr>
                <w:color w:val="A6A6A6" w:themeColor="background1" w:themeShade="A6"/>
                <w:sz w:val="24"/>
              </w:rPr>
            </w:pPr>
            <w:r w:rsidRPr="00F20150">
              <w:rPr>
                <w:sz w:val="24"/>
              </w:rPr>
              <w:t>Jo Coffey</w:t>
            </w:r>
          </w:p>
        </w:tc>
        <w:tc>
          <w:tcPr>
            <w:tcW w:w="3584" w:type="dxa"/>
          </w:tcPr>
          <w:p w:rsidR="00E80D49" w:rsidRPr="00F20150" w:rsidRDefault="00F20150" w:rsidP="00F20150">
            <w:pPr>
              <w:jc w:val="left"/>
              <w:rPr>
                <w:sz w:val="24"/>
              </w:rPr>
            </w:pPr>
            <w:r w:rsidRPr="00F20150">
              <w:rPr>
                <w:sz w:val="24"/>
              </w:rPr>
              <w:t>NZNO Organiser</w:t>
            </w:r>
          </w:p>
        </w:tc>
        <w:tc>
          <w:tcPr>
            <w:tcW w:w="3584" w:type="dxa"/>
          </w:tcPr>
          <w:p w:rsidR="00E80D49" w:rsidRPr="0072265B" w:rsidRDefault="00E80D49" w:rsidP="00F20150">
            <w:pPr>
              <w:jc w:val="left"/>
              <w:rPr>
                <w:color w:val="A6A6A6" w:themeColor="background1" w:themeShade="A6"/>
                <w:sz w:val="24"/>
              </w:rPr>
            </w:pPr>
            <w:r w:rsidRPr="0072265B">
              <w:rPr>
                <w:color w:val="A6A6A6" w:themeColor="background1" w:themeShade="A6"/>
                <w:sz w:val="24"/>
              </w:rPr>
              <w:t>Name</w:t>
            </w:r>
          </w:p>
        </w:tc>
        <w:tc>
          <w:tcPr>
            <w:tcW w:w="3585" w:type="dxa"/>
          </w:tcPr>
          <w:p w:rsidR="00E80D49" w:rsidRPr="0072265B" w:rsidRDefault="00E80D49" w:rsidP="00F20150">
            <w:pPr>
              <w:jc w:val="left"/>
              <w:rPr>
                <w:color w:val="A6A6A6" w:themeColor="background1" w:themeShade="A6"/>
                <w:sz w:val="24"/>
              </w:rPr>
            </w:pPr>
            <w:r w:rsidRPr="0072265B">
              <w:rPr>
                <w:color w:val="A6A6A6" w:themeColor="background1" w:themeShade="A6"/>
                <w:sz w:val="24"/>
              </w:rPr>
              <w:t>Role</w:t>
            </w:r>
          </w:p>
        </w:tc>
      </w:tr>
    </w:tbl>
    <w:p w:rsidR="00E80D49" w:rsidRDefault="00E80D49" w:rsidP="00E80D49">
      <w:pPr>
        <w:pStyle w:val="NoSpacing"/>
      </w:pPr>
    </w:p>
    <w:p w:rsidR="00E80D49" w:rsidRDefault="00E80D49" w:rsidP="008F1BD0">
      <w:pPr>
        <w:pStyle w:val="Heading2"/>
      </w:pPr>
      <w:r>
        <w:t xml:space="preserve">Assessment </w:t>
      </w:r>
      <w:r w:rsidR="008F1BD0">
        <w:t>a</w:t>
      </w:r>
      <w:r>
        <w:t xml:space="preserve">ttainment </w:t>
      </w:r>
      <w:r w:rsidR="008F1BD0">
        <w:t>l</w:t>
      </w:r>
      <w:r>
        <w:t>evels</w:t>
      </w:r>
    </w:p>
    <w:tbl>
      <w:tblPr>
        <w:tblStyle w:val="TableGrid"/>
        <w:tblW w:w="0" w:type="auto"/>
        <w:tblLook w:val="04A0" w:firstRow="1" w:lastRow="0" w:firstColumn="1" w:lastColumn="0" w:noHBand="0" w:noVBand="1"/>
      </w:tblPr>
      <w:tblGrid>
        <w:gridCol w:w="3539"/>
        <w:gridCol w:w="10799"/>
      </w:tblGrid>
      <w:tr w:rsidR="00E80D49" w:rsidTr="007F1935">
        <w:tc>
          <w:tcPr>
            <w:tcW w:w="3539" w:type="dxa"/>
          </w:tcPr>
          <w:p w:rsidR="00E80D49" w:rsidRPr="008F1BD0" w:rsidRDefault="00E80D49" w:rsidP="000E0334">
            <w:pPr>
              <w:spacing w:before="60" w:after="60"/>
              <w:rPr>
                <w:b/>
                <w:sz w:val="24"/>
              </w:rPr>
            </w:pPr>
            <w:r w:rsidRPr="008F1BD0">
              <w:rPr>
                <w:b/>
                <w:sz w:val="24"/>
              </w:rPr>
              <w:t>Attainment level</w:t>
            </w:r>
          </w:p>
        </w:tc>
        <w:tc>
          <w:tcPr>
            <w:tcW w:w="10799" w:type="dxa"/>
          </w:tcPr>
          <w:p w:rsidR="00E80D49" w:rsidRPr="008F1BD0" w:rsidRDefault="00E80D49" w:rsidP="000E0334">
            <w:pPr>
              <w:spacing w:before="60" w:after="60"/>
              <w:rPr>
                <w:b/>
                <w:sz w:val="24"/>
              </w:rPr>
            </w:pPr>
            <w:r w:rsidRPr="008F1BD0">
              <w:rPr>
                <w:b/>
                <w:sz w:val="24"/>
              </w:rPr>
              <w:t>Definition</w:t>
            </w:r>
          </w:p>
        </w:tc>
      </w:tr>
      <w:tr w:rsidR="00E80D49" w:rsidTr="007F1935">
        <w:tc>
          <w:tcPr>
            <w:tcW w:w="3539" w:type="dxa"/>
          </w:tcPr>
          <w:p w:rsidR="00E80D49" w:rsidRPr="008F1BD0" w:rsidRDefault="00E80D49" w:rsidP="008F1BD0">
            <w:pPr>
              <w:rPr>
                <w:sz w:val="24"/>
              </w:rPr>
            </w:pPr>
            <w:r w:rsidRPr="008F1BD0">
              <w:rPr>
                <w:sz w:val="24"/>
              </w:rPr>
              <w:t xml:space="preserve">CI = Continuous </w:t>
            </w:r>
            <w:r w:rsidR="008F1BD0" w:rsidRPr="008F1BD0">
              <w:rPr>
                <w:sz w:val="24"/>
              </w:rPr>
              <w:t>i</w:t>
            </w:r>
            <w:r w:rsidRPr="008F1BD0">
              <w:rPr>
                <w:sz w:val="24"/>
              </w:rPr>
              <w:t xml:space="preserve">mprovement </w:t>
            </w:r>
          </w:p>
        </w:tc>
        <w:tc>
          <w:tcPr>
            <w:tcW w:w="10799" w:type="dxa"/>
          </w:tcPr>
          <w:p w:rsidR="00E80D49" w:rsidRPr="0060355D" w:rsidRDefault="00E80D49" w:rsidP="007F1935">
            <w:pPr>
              <w:jc w:val="left"/>
            </w:pPr>
            <w:r>
              <w:t>T</w:t>
            </w:r>
            <w:r w:rsidRPr="0060355D">
              <w:t xml:space="preserve">he DHB can </w:t>
            </w:r>
            <w:r>
              <w:t xml:space="preserve">in addition to demonstrating full attainment show a process of continuous improvement through evaluation and review of implementation. Actions taken are evaluated and there is evidence of improvement at a ward, service and hospital level. </w:t>
            </w:r>
          </w:p>
        </w:tc>
      </w:tr>
      <w:tr w:rsidR="00E80D49" w:rsidTr="007F1935">
        <w:tc>
          <w:tcPr>
            <w:tcW w:w="3539" w:type="dxa"/>
          </w:tcPr>
          <w:p w:rsidR="00E80D49" w:rsidRPr="008F1BD0" w:rsidRDefault="00E80D49" w:rsidP="008F1BD0">
            <w:pPr>
              <w:rPr>
                <w:sz w:val="24"/>
              </w:rPr>
            </w:pPr>
            <w:r w:rsidRPr="008F1BD0">
              <w:rPr>
                <w:sz w:val="24"/>
              </w:rPr>
              <w:t xml:space="preserve">FA = Fully </w:t>
            </w:r>
            <w:r w:rsidR="008F1BD0" w:rsidRPr="008F1BD0">
              <w:rPr>
                <w:sz w:val="24"/>
              </w:rPr>
              <w:t>a</w:t>
            </w:r>
            <w:r w:rsidRPr="008F1BD0">
              <w:rPr>
                <w:sz w:val="24"/>
              </w:rPr>
              <w:t>ttained</w:t>
            </w:r>
          </w:p>
        </w:tc>
        <w:tc>
          <w:tcPr>
            <w:tcW w:w="10799" w:type="dxa"/>
          </w:tcPr>
          <w:p w:rsidR="00E80D49" w:rsidRPr="0060355D" w:rsidRDefault="00E80D49" w:rsidP="003B7E16">
            <w:pPr>
              <w:jc w:val="left"/>
            </w:pPr>
            <w:r w:rsidRPr="0060355D">
              <w:t>The DHB can demonstrate implementation</w:t>
            </w:r>
            <w:r w:rsidR="003B7E16">
              <w:t>. This</w:t>
            </w:r>
            <w:r>
              <w:t xml:space="preserve"> includes</w:t>
            </w:r>
            <w:r w:rsidRPr="0060355D">
              <w:t xml:space="preserve"> practice evidence, reporting and visual evidence of CCDM process</w:t>
            </w:r>
            <w:r>
              <w:t>es</w:t>
            </w:r>
            <w:r w:rsidRPr="0060355D">
              <w:t xml:space="preserve"> and systems </w:t>
            </w:r>
            <w:r>
              <w:t>that</w:t>
            </w:r>
            <w:r w:rsidRPr="0060355D">
              <w:t xml:space="preserve"> meet the criterion</w:t>
            </w:r>
          </w:p>
        </w:tc>
      </w:tr>
      <w:tr w:rsidR="00E80D49" w:rsidTr="007F1935">
        <w:tc>
          <w:tcPr>
            <w:tcW w:w="3539" w:type="dxa"/>
          </w:tcPr>
          <w:p w:rsidR="00E80D49" w:rsidRPr="008F1BD0" w:rsidRDefault="00E80D49" w:rsidP="008F1BD0">
            <w:pPr>
              <w:rPr>
                <w:sz w:val="24"/>
              </w:rPr>
            </w:pPr>
            <w:r w:rsidRPr="008F1BD0">
              <w:rPr>
                <w:sz w:val="24"/>
              </w:rPr>
              <w:t xml:space="preserve">PA = Partially </w:t>
            </w:r>
            <w:r w:rsidR="008F1BD0" w:rsidRPr="008F1BD0">
              <w:rPr>
                <w:sz w:val="24"/>
              </w:rPr>
              <w:t>a</w:t>
            </w:r>
            <w:r w:rsidRPr="008F1BD0">
              <w:rPr>
                <w:sz w:val="24"/>
              </w:rPr>
              <w:t>ttained</w:t>
            </w:r>
          </w:p>
        </w:tc>
        <w:tc>
          <w:tcPr>
            <w:tcW w:w="10799" w:type="dxa"/>
          </w:tcPr>
          <w:p w:rsidR="00E80D49" w:rsidRPr="00FC4C36" w:rsidRDefault="00E80D49" w:rsidP="007F1935">
            <w:pPr>
              <w:jc w:val="left"/>
            </w:pPr>
            <w:r w:rsidRPr="00FC4C36">
              <w:t>The DHB can demonstrate</w:t>
            </w:r>
            <w:r>
              <w:t>:</w:t>
            </w:r>
          </w:p>
          <w:p w:rsidR="00E80D49" w:rsidRPr="0060355D" w:rsidRDefault="00E80D49" w:rsidP="007F1935">
            <w:pPr>
              <w:pStyle w:val="ListParagraph"/>
              <w:numPr>
                <w:ilvl w:val="0"/>
                <w:numId w:val="8"/>
              </w:numPr>
              <w:spacing w:after="0"/>
              <w:jc w:val="left"/>
              <w:rPr>
                <w:b/>
              </w:rPr>
            </w:pPr>
            <w:r w:rsidRPr="0060355D">
              <w:t xml:space="preserve">Evidence of </w:t>
            </w:r>
            <w:r>
              <w:t xml:space="preserve">process </w:t>
            </w:r>
            <w:r w:rsidRPr="0060355D">
              <w:t>implementation (systems / procedure / guideline) without supporting structures.</w:t>
            </w:r>
          </w:p>
          <w:p w:rsidR="00E80D49" w:rsidRPr="0060355D" w:rsidRDefault="00E80D49" w:rsidP="007F1935">
            <w:pPr>
              <w:pStyle w:val="ListParagraph"/>
              <w:jc w:val="left"/>
            </w:pPr>
            <w:r w:rsidRPr="0060355D">
              <w:t>OR</w:t>
            </w:r>
          </w:p>
          <w:p w:rsidR="00E80D49" w:rsidRPr="0060355D" w:rsidRDefault="00E80D49" w:rsidP="007F1935">
            <w:pPr>
              <w:pStyle w:val="ListParagraph"/>
              <w:numPr>
                <w:ilvl w:val="0"/>
                <w:numId w:val="8"/>
              </w:numPr>
              <w:spacing w:after="0"/>
              <w:jc w:val="left"/>
              <w:rPr>
                <w:b/>
              </w:rPr>
            </w:pPr>
            <w:r w:rsidRPr="0060355D">
              <w:lastRenderedPageBreak/>
              <w:t>Documented process</w:t>
            </w:r>
            <w:r>
              <w:t>es</w:t>
            </w:r>
            <w:r w:rsidRPr="0060355D">
              <w:t xml:space="preserve"> / systems or structure is evident but unable to demonstrate </w:t>
            </w:r>
            <w:r>
              <w:t xml:space="preserve">this at all levels of the organisation </w:t>
            </w:r>
            <w:r w:rsidRPr="0060355D">
              <w:t>ward – directorate – DHB where required</w:t>
            </w:r>
          </w:p>
        </w:tc>
      </w:tr>
      <w:tr w:rsidR="00E80D49" w:rsidTr="007F1935">
        <w:tc>
          <w:tcPr>
            <w:tcW w:w="3539" w:type="dxa"/>
          </w:tcPr>
          <w:p w:rsidR="00E80D49" w:rsidRPr="008F1BD0" w:rsidRDefault="00E80D49" w:rsidP="008F1BD0">
            <w:pPr>
              <w:rPr>
                <w:sz w:val="24"/>
              </w:rPr>
            </w:pPr>
            <w:r w:rsidRPr="008F1BD0">
              <w:rPr>
                <w:sz w:val="24"/>
              </w:rPr>
              <w:lastRenderedPageBreak/>
              <w:t xml:space="preserve">UN = </w:t>
            </w:r>
            <w:r w:rsidR="008F1BD0" w:rsidRPr="008F1BD0">
              <w:rPr>
                <w:sz w:val="24"/>
              </w:rPr>
              <w:t>u</w:t>
            </w:r>
            <w:r w:rsidRPr="008F1BD0">
              <w:rPr>
                <w:sz w:val="24"/>
              </w:rPr>
              <w:t>nattained</w:t>
            </w:r>
          </w:p>
        </w:tc>
        <w:tc>
          <w:tcPr>
            <w:tcW w:w="10799" w:type="dxa"/>
          </w:tcPr>
          <w:p w:rsidR="00E80D49" w:rsidRPr="0060355D" w:rsidRDefault="00E80D49" w:rsidP="000E0334">
            <w:r w:rsidRPr="0060355D">
              <w:t>DHB unable to demonstrate appropriate process</w:t>
            </w:r>
            <w:r>
              <w:t>es</w:t>
            </w:r>
            <w:r w:rsidRPr="0060355D">
              <w:t>, systems, structures to meet the criterion</w:t>
            </w:r>
          </w:p>
        </w:tc>
      </w:tr>
    </w:tbl>
    <w:p w:rsidR="00E80D49" w:rsidRPr="009D2419" w:rsidRDefault="00E80D49" w:rsidP="00E80D49">
      <w:pPr>
        <w:spacing w:after="0" w:line="240" w:lineRule="auto"/>
        <w:rPr>
          <w:b/>
          <w:sz w:val="24"/>
        </w:rPr>
      </w:pPr>
    </w:p>
    <w:tbl>
      <w:tblPr>
        <w:tblStyle w:val="TableGrid"/>
        <w:tblW w:w="0" w:type="auto"/>
        <w:tblLook w:val="04A0" w:firstRow="1" w:lastRow="0" w:firstColumn="1" w:lastColumn="0" w:noHBand="0" w:noVBand="1"/>
      </w:tblPr>
      <w:tblGrid>
        <w:gridCol w:w="14338"/>
      </w:tblGrid>
      <w:tr w:rsidR="00E80D49" w:rsidTr="000E0334">
        <w:tc>
          <w:tcPr>
            <w:tcW w:w="14338" w:type="dxa"/>
            <w:tcBorders>
              <w:left w:val="nil"/>
              <w:bottom w:val="single" w:sz="4" w:space="0" w:color="auto"/>
              <w:right w:val="nil"/>
            </w:tcBorders>
          </w:tcPr>
          <w:p w:rsidR="00E80D49" w:rsidRPr="00DA7081" w:rsidRDefault="00E80D49" w:rsidP="008F1BD0">
            <w:pPr>
              <w:pStyle w:val="Heading3"/>
              <w:rPr>
                <w:color w:val="auto"/>
                <w:highlight w:val="yellow"/>
              </w:rPr>
            </w:pPr>
            <w:r w:rsidRPr="00C11A46">
              <w:t xml:space="preserve">DHB areas of commendation: </w:t>
            </w:r>
          </w:p>
          <w:p w:rsidR="00EB6C11" w:rsidRDefault="00C11A46" w:rsidP="00B946E1">
            <w:pPr>
              <w:spacing w:before="60" w:after="60"/>
              <w:rPr>
                <w:sz w:val="24"/>
              </w:rPr>
            </w:pPr>
            <w:r w:rsidRPr="00C11A46">
              <w:rPr>
                <w:sz w:val="24"/>
              </w:rPr>
              <w:t>CCDHB</w:t>
            </w:r>
            <w:r>
              <w:rPr>
                <w:sz w:val="24"/>
              </w:rPr>
              <w:t xml:space="preserve"> is building a sustainable </w:t>
            </w:r>
            <w:r w:rsidR="006A0C21">
              <w:rPr>
                <w:sz w:val="24"/>
              </w:rPr>
              <w:t>CCDM programme which is underpinned by a sophisticated core data set which drives data driven decision making.</w:t>
            </w:r>
          </w:p>
          <w:p w:rsidR="00F3508F" w:rsidRDefault="00F3508F" w:rsidP="00B946E1">
            <w:pPr>
              <w:spacing w:before="60" w:after="60"/>
              <w:rPr>
                <w:sz w:val="24"/>
              </w:rPr>
            </w:pPr>
            <w:r>
              <w:rPr>
                <w:sz w:val="24"/>
              </w:rPr>
              <w:t>All aspects of the programme are being implemented to maintain integrity of the programme.</w:t>
            </w:r>
          </w:p>
          <w:p w:rsidR="006A0C21" w:rsidRDefault="006A0C21" w:rsidP="00B946E1">
            <w:pPr>
              <w:spacing w:before="60" w:after="60"/>
              <w:rPr>
                <w:sz w:val="24"/>
              </w:rPr>
            </w:pPr>
            <w:r>
              <w:rPr>
                <w:sz w:val="24"/>
              </w:rPr>
              <w:t>Partnership in action is practised and supported throughout all aspects of the programme.</w:t>
            </w:r>
          </w:p>
          <w:p w:rsidR="00F3508F" w:rsidRDefault="00F3508F" w:rsidP="00B946E1">
            <w:pPr>
              <w:spacing w:before="60" w:after="60"/>
              <w:rPr>
                <w:sz w:val="24"/>
              </w:rPr>
            </w:pPr>
            <w:r>
              <w:rPr>
                <w:sz w:val="24"/>
              </w:rPr>
              <w:t>During the recent Covid-19 response aspects of CCDM were integrally involved i.e. variance response management.</w:t>
            </w:r>
          </w:p>
          <w:p w:rsidR="006A0C21" w:rsidRPr="006A0C21" w:rsidRDefault="006A0C21" w:rsidP="00B946E1">
            <w:pPr>
              <w:spacing w:before="60" w:after="60"/>
              <w:rPr>
                <w:sz w:val="24"/>
              </w:rPr>
            </w:pPr>
          </w:p>
        </w:tc>
      </w:tr>
      <w:tr w:rsidR="00E80D49" w:rsidTr="000E0334">
        <w:tc>
          <w:tcPr>
            <w:tcW w:w="14338" w:type="dxa"/>
            <w:tcBorders>
              <w:left w:val="nil"/>
              <w:right w:val="nil"/>
            </w:tcBorders>
          </w:tcPr>
          <w:p w:rsidR="00E80D49" w:rsidRPr="00C11A46" w:rsidRDefault="00E80D49" w:rsidP="000E0334">
            <w:pPr>
              <w:spacing w:before="60" w:after="60"/>
              <w:rPr>
                <w:b/>
                <w:color w:val="808080" w:themeColor="background1" w:themeShade="80"/>
                <w:sz w:val="24"/>
              </w:rPr>
            </w:pPr>
            <w:r w:rsidRPr="00C11A46">
              <w:rPr>
                <w:rStyle w:val="Heading3Char"/>
              </w:rPr>
              <w:t>DHB areas for improvement opportunities:</w:t>
            </w:r>
            <w:r w:rsidRPr="00C11A46">
              <w:rPr>
                <w:b/>
                <w:sz w:val="24"/>
              </w:rPr>
              <w:t xml:space="preserve"> </w:t>
            </w:r>
          </w:p>
          <w:p w:rsidR="00F3508F" w:rsidRPr="00F3508F" w:rsidRDefault="00F3508F" w:rsidP="00B946E1">
            <w:pPr>
              <w:spacing w:before="60" w:after="60"/>
              <w:rPr>
                <w:sz w:val="24"/>
              </w:rPr>
            </w:pPr>
            <w:r>
              <w:rPr>
                <w:sz w:val="24"/>
              </w:rPr>
              <w:t xml:space="preserve">CCDHB ensures CCDM milestone reporting accurately reflects progress made during each quarter.  National inconsistencies with reporting </w:t>
            </w:r>
            <w:r w:rsidR="007A275E">
              <w:rPr>
                <w:sz w:val="24"/>
              </w:rPr>
              <w:t xml:space="preserve">appear to </w:t>
            </w:r>
            <w:r w:rsidR="007A47B6">
              <w:rPr>
                <w:sz w:val="24"/>
              </w:rPr>
              <w:t xml:space="preserve">be </w:t>
            </w:r>
            <w:r w:rsidR="007A275E">
              <w:rPr>
                <w:sz w:val="24"/>
              </w:rPr>
              <w:t>evident in the infographics distributed to all DHBs.</w:t>
            </w:r>
            <w:r w:rsidR="001818D8">
              <w:rPr>
                <w:sz w:val="24"/>
              </w:rPr>
              <w:t xml:space="preserve">  This affects how the CCDM programme at CCDHB is viewed by key stakeholders.</w:t>
            </w:r>
          </w:p>
        </w:tc>
      </w:tr>
    </w:tbl>
    <w:p w:rsidR="00E80D49" w:rsidRDefault="00E80D49" w:rsidP="00E80D49">
      <w:pPr>
        <w:spacing w:after="0" w:line="240" w:lineRule="auto"/>
        <w:rPr>
          <w:b/>
          <w:sz w:val="24"/>
        </w:rPr>
      </w:pPr>
    </w:p>
    <w:p w:rsidR="005201CE" w:rsidRDefault="005201CE">
      <w:pPr>
        <w:spacing w:after="0" w:line="240" w:lineRule="auto"/>
        <w:jc w:val="left"/>
        <w:rPr>
          <w:rFonts w:eastAsiaTheme="majorEastAsia" w:cs="Calibri"/>
          <w:bCs/>
          <w:color w:val="A79F53"/>
          <w:sz w:val="44"/>
          <w:szCs w:val="32"/>
        </w:rPr>
      </w:pPr>
      <w:r>
        <w:br w:type="page"/>
      </w:r>
    </w:p>
    <w:p w:rsidR="005201CE" w:rsidRPr="00041F9D" w:rsidRDefault="005201CE" w:rsidP="008F1BD0">
      <w:pPr>
        <w:pStyle w:val="Heading2"/>
      </w:pPr>
      <w:r>
        <w:lastRenderedPageBreak/>
        <w:t xml:space="preserve">Standard 1.0 – CCDM </w:t>
      </w:r>
      <w:r w:rsidR="008F1BD0">
        <w:t>g</w:t>
      </w:r>
      <w:r>
        <w:t>overnance</w:t>
      </w:r>
    </w:p>
    <w:tbl>
      <w:tblPr>
        <w:tblStyle w:val="TableGrid"/>
        <w:tblW w:w="0" w:type="auto"/>
        <w:shd w:val="clear" w:color="auto" w:fill="BFB97F"/>
        <w:tblLook w:val="04A0" w:firstRow="1" w:lastRow="0" w:firstColumn="1" w:lastColumn="0" w:noHBand="0" w:noVBand="1"/>
      </w:tblPr>
      <w:tblGrid>
        <w:gridCol w:w="14283"/>
      </w:tblGrid>
      <w:tr w:rsidR="005201CE" w:rsidTr="00352EC3">
        <w:tc>
          <w:tcPr>
            <w:tcW w:w="14283" w:type="dxa"/>
            <w:tcBorders>
              <w:bottom w:val="single" w:sz="4" w:space="0" w:color="auto"/>
            </w:tcBorders>
            <w:shd w:val="clear" w:color="auto" w:fill="BFB97F"/>
          </w:tcPr>
          <w:p w:rsidR="005201CE" w:rsidRPr="005201CE" w:rsidRDefault="005201CE" w:rsidP="000E0334">
            <w:r w:rsidRPr="00041F9D">
              <w:rPr>
                <w:b/>
              </w:rPr>
              <w:t xml:space="preserve">Standard </w:t>
            </w:r>
            <w:r>
              <w:rPr>
                <w:b/>
              </w:rPr>
              <w:t>1</w:t>
            </w:r>
            <w:r w:rsidRPr="00041F9D">
              <w:rPr>
                <w:b/>
              </w:rPr>
              <w:t xml:space="preserve">.0 </w:t>
            </w:r>
          </w:p>
          <w:p w:rsidR="005201CE" w:rsidRPr="00041F9D" w:rsidRDefault="005201CE" w:rsidP="000E0334">
            <w:pPr>
              <w:rPr>
                <w:b/>
              </w:rPr>
            </w:pPr>
            <w:r w:rsidRPr="00041F9D">
              <w:t xml:space="preserve">The </w:t>
            </w:r>
            <w:r>
              <w:t xml:space="preserve">CCDM </w:t>
            </w:r>
            <w:r w:rsidRPr="00041F9D">
              <w:t>governance councils (</w:t>
            </w:r>
            <w:r>
              <w:t>organisation and ward/unit</w:t>
            </w:r>
            <w:r w:rsidRPr="00041F9D">
              <w:t>) ensure that care capacity demand management is planned, coordinated and appropriate for staff and patients.</w:t>
            </w:r>
          </w:p>
        </w:tc>
      </w:tr>
      <w:tr w:rsidR="005201CE" w:rsidRPr="005201CE" w:rsidTr="00352EC3">
        <w:tc>
          <w:tcPr>
            <w:tcW w:w="14283" w:type="dxa"/>
            <w:tcBorders>
              <w:left w:val="nil"/>
              <w:bottom w:val="nil"/>
              <w:right w:val="nil"/>
            </w:tcBorders>
            <w:shd w:val="clear" w:color="auto" w:fill="auto"/>
          </w:tcPr>
          <w:p w:rsidR="005201CE" w:rsidRPr="005201CE" w:rsidRDefault="005201CE" w:rsidP="000E0334">
            <w:pPr>
              <w:rPr>
                <w:b/>
                <w:sz w:val="12"/>
              </w:rPr>
            </w:pPr>
          </w:p>
        </w:tc>
      </w:tr>
    </w:tbl>
    <w:tbl>
      <w:tblPr>
        <w:tblStyle w:val="TableGrid1"/>
        <w:tblW w:w="0" w:type="auto"/>
        <w:tblLook w:val="04A0" w:firstRow="1" w:lastRow="0" w:firstColumn="1" w:lastColumn="0" w:noHBand="0" w:noVBand="1"/>
      </w:tblPr>
      <w:tblGrid>
        <w:gridCol w:w="5144"/>
        <w:gridCol w:w="9168"/>
      </w:tblGrid>
      <w:tr w:rsidR="005201CE" w:rsidTr="00352EC3">
        <w:trPr>
          <w:trHeight w:val="243"/>
          <w:tblHeader/>
        </w:trPr>
        <w:tc>
          <w:tcPr>
            <w:tcW w:w="5144" w:type="dxa"/>
            <w:shd w:val="clear" w:color="auto" w:fill="BFB97F"/>
          </w:tcPr>
          <w:p w:rsidR="005201CE" w:rsidRPr="00041F9D" w:rsidRDefault="005201CE" w:rsidP="000E0334">
            <w:pPr>
              <w:spacing w:after="200"/>
              <w:rPr>
                <w:b/>
                <w:szCs w:val="28"/>
              </w:rPr>
            </w:pPr>
            <w:r w:rsidRPr="00041F9D">
              <w:rPr>
                <w:b/>
                <w:szCs w:val="28"/>
              </w:rPr>
              <w:t>Criteria</w:t>
            </w:r>
          </w:p>
        </w:tc>
        <w:tc>
          <w:tcPr>
            <w:tcW w:w="9168" w:type="dxa"/>
            <w:tcBorders>
              <w:bottom w:val="single" w:sz="4" w:space="0" w:color="auto"/>
            </w:tcBorders>
            <w:shd w:val="clear" w:color="auto" w:fill="BFB97F"/>
          </w:tcPr>
          <w:p w:rsidR="005201CE" w:rsidRPr="00041F9D" w:rsidRDefault="005201CE" w:rsidP="007F1935">
            <w:pPr>
              <w:rPr>
                <w:b/>
                <w:szCs w:val="28"/>
              </w:rPr>
            </w:pPr>
            <w:r>
              <w:rPr>
                <w:b/>
                <w:szCs w:val="28"/>
              </w:rPr>
              <w:t xml:space="preserve">Evidence </w:t>
            </w:r>
            <w:r w:rsidRPr="00600CC8">
              <w:rPr>
                <w:szCs w:val="28"/>
              </w:rPr>
              <w:t>(</w:t>
            </w:r>
            <w:r w:rsidRPr="00600CC8">
              <w:rPr>
                <w:i/>
                <w:szCs w:val="28"/>
              </w:rPr>
              <w:t>use standards guidance</w:t>
            </w:r>
            <w:r w:rsidRPr="00600CC8">
              <w:rPr>
                <w:szCs w:val="28"/>
              </w:rPr>
              <w:t>)</w:t>
            </w:r>
            <w:r>
              <w:rPr>
                <w:szCs w:val="28"/>
              </w:rPr>
              <w:t xml:space="preserve">  expectation is to see evidence at Executive / </w:t>
            </w:r>
            <w:r w:rsidR="007F1935">
              <w:rPr>
                <w:szCs w:val="28"/>
              </w:rPr>
              <w:t>d</w:t>
            </w:r>
            <w:r>
              <w:rPr>
                <w:szCs w:val="28"/>
              </w:rPr>
              <w:t>irectorate</w:t>
            </w:r>
            <w:r w:rsidR="006E6F00">
              <w:rPr>
                <w:szCs w:val="28"/>
              </w:rPr>
              <w:t>/service</w:t>
            </w:r>
            <w:r>
              <w:rPr>
                <w:szCs w:val="28"/>
              </w:rPr>
              <w:t xml:space="preserve"> and </w:t>
            </w:r>
            <w:r w:rsidR="007F1935">
              <w:rPr>
                <w:szCs w:val="28"/>
              </w:rPr>
              <w:t>w</w:t>
            </w:r>
            <w:r>
              <w:rPr>
                <w:szCs w:val="28"/>
              </w:rPr>
              <w:t xml:space="preserve">ard level </w:t>
            </w:r>
          </w:p>
        </w:tc>
      </w:tr>
      <w:tr w:rsidR="005201CE" w:rsidTr="007F1935">
        <w:trPr>
          <w:trHeight w:val="936"/>
        </w:trPr>
        <w:tc>
          <w:tcPr>
            <w:tcW w:w="5144" w:type="dxa"/>
            <w:shd w:val="clear" w:color="auto" w:fill="E6E4CC"/>
          </w:tcPr>
          <w:p w:rsidR="005201CE" w:rsidRPr="0060549B" w:rsidRDefault="005201CE" w:rsidP="00235BBD">
            <w:pPr>
              <w:pStyle w:val="NoSpacing"/>
              <w:numPr>
                <w:ilvl w:val="0"/>
                <w:numId w:val="9"/>
              </w:numPr>
              <w:spacing w:line="276" w:lineRule="auto"/>
              <w:jc w:val="left"/>
            </w:pPr>
            <w:r w:rsidRPr="0060549B">
              <w:t xml:space="preserve">The purpose, values, scope and direction of the organisation’s  CCDM </w:t>
            </w:r>
            <w:r w:rsidR="00235BBD">
              <w:t>c</w:t>
            </w:r>
            <w:r w:rsidRPr="0060549B">
              <w:t xml:space="preserve">ouncil and ward/unit  </w:t>
            </w:r>
            <w:r w:rsidR="00235BBD">
              <w:t>l</w:t>
            </w:r>
            <w:r w:rsidRPr="0060549B">
              <w:t xml:space="preserve">ocal </w:t>
            </w:r>
            <w:r w:rsidR="00235BBD">
              <w:t>d</w:t>
            </w:r>
            <w:r w:rsidRPr="0060549B">
              <w:t xml:space="preserve">ata </w:t>
            </w:r>
            <w:r w:rsidR="00235BBD">
              <w:t>c</w:t>
            </w:r>
            <w:r w:rsidRPr="0060549B">
              <w:t>ouncils is clearly identified and regularly reviewed</w:t>
            </w:r>
          </w:p>
        </w:tc>
        <w:tc>
          <w:tcPr>
            <w:tcW w:w="9168" w:type="dxa"/>
            <w:shd w:val="clear" w:color="auto" w:fill="auto"/>
          </w:tcPr>
          <w:p w:rsidR="00F20150" w:rsidRDefault="008B1C02" w:rsidP="00F20150">
            <w:pPr>
              <w:pStyle w:val="ListParagraph"/>
              <w:numPr>
                <w:ilvl w:val="0"/>
                <w:numId w:val="15"/>
              </w:numPr>
              <w:rPr>
                <w:sz w:val="20"/>
                <w:szCs w:val="20"/>
              </w:rPr>
            </w:pPr>
            <w:r>
              <w:rPr>
                <w:sz w:val="20"/>
                <w:szCs w:val="20"/>
              </w:rPr>
              <w:t>The strong working partnership between the DHB and the Unions continues and is evident through all decision making.</w:t>
            </w:r>
          </w:p>
          <w:p w:rsidR="005201CE" w:rsidRDefault="00F20150" w:rsidP="00F20150">
            <w:pPr>
              <w:pStyle w:val="ListParagraph"/>
              <w:numPr>
                <w:ilvl w:val="0"/>
                <w:numId w:val="15"/>
              </w:numPr>
              <w:rPr>
                <w:sz w:val="20"/>
                <w:szCs w:val="20"/>
              </w:rPr>
            </w:pPr>
            <w:r>
              <w:rPr>
                <w:sz w:val="20"/>
                <w:szCs w:val="20"/>
              </w:rPr>
              <w:t>Terms of reference are in place and are reviewed annually.</w:t>
            </w:r>
          </w:p>
          <w:p w:rsidR="006368E5" w:rsidRDefault="006368E5" w:rsidP="00F20150">
            <w:pPr>
              <w:pStyle w:val="ListParagraph"/>
              <w:numPr>
                <w:ilvl w:val="0"/>
                <w:numId w:val="15"/>
              </w:numPr>
              <w:rPr>
                <w:sz w:val="20"/>
                <w:szCs w:val="20"/>
              </w:rPr>
            </w:pPr>
            <w:r>
              <w:rPr>
                <w:sz w:val="20"/>
                <w:szCs w:val="20"/>
              </w:rPr>
              <w:t>An executive level structure change is currently in progress which will impact and potentially change CCDM Council members – CCDM and partnership education is provided to all new CCDM Council members.</w:t>
            </w:r>
          </w:p>
          <w:p w:rsidR="00F50307" w:rsidRPr="00F20150" w:rsidRDefault="002B3D8B" w:rsidP="008B1C02">
            <w:pPr>
              <w:pStyle w:val="ListParagraph"/>
              <w:numPr>
                <w:ilvl w:val="0"/>
                <w:numId w:val="15"/>
              </w:numPr>
              <w:rPr>
                <w:sz w:val="20"/>
                <w:szCs w:val="20"/>
              </w:rPr>
            </w:pPr>
            <w:r w:rsidRPr="002B3D8B">
              <w:rPr>
                <w:sz w:val="20"/>
                <w:szCs w:val="20"/>
              </w:rPr>
              <w:t>CCDM for allied health is now included in the scope of the CCDM Council.</w:t>
            </w:r>
            <w:r>
              <w:rPr>
                <w:sz w:val="20"/>
                <w:szCs w:val="20"/>
              </w:rPr>
              <w:t xml:space="preserve">  Allied health CCDM resource </w:t>
            </w:r>
            <w:r w:rsidR="008B1C02">
              <w:rPr>
                <w:sz w:val="20"/>
                <w:szCs w:val="20"/>
              </w:rPr>
              <w:t>to enable development of a work plan is gaining momentum.</w:t>
            </w:r>
            <w:r>
              <w:rPr>
                <w:sz w:val="20"/>
                <w:szCs w:val="20"/>
              </w:rPr>
              <w:t xml:space="preserve"> </w:t>
            </w:r>
            <w:r w:rsidR="006B3205">
              <w:rPr>
                <w:sz w:val="20"/>
                <w:szCs w:val="20"/>
              </w:rPr>
              <w:t>Initial focus will be on the establishment of a core data set and ensuring accuracy of data collection through the Allied Health Acuity Capture (AHAC).</w:t>
            </w:r>
          </w:p>
        </w:tc>
      </w:tr>
      <w:tr w:rsidR="005201CE" w:rsidTr="007F1935">
        <w:trPr>
          <w:trHeight w:val="826"/>
        </w:trPr>
        <w:tc>
          <w:tcPr>
            <w:tcW w:w="5144" w:type="dxa"/>
            <w:shd w:val="clear" w:color="auto" w:fill="E6E4CC"/>
          </w:tcPr>
          <w:p w:rsidR="005201CE" w:rsidRPr="0060549B" w:rsidRDefault="005201CE" w:rsidP="005201CE">
            <w:pPr>
              <w:pStyle w:val="NoSpacing"/>
              <w:numPr>
                <w:ilvl w:val="0"/>
                <w:numId w:val="9"/>
              </w:numPr>
              <w:spacing w:line="276" w:lineRule="auto"/>
              <w:jc w:val="left"/>
            </w:pPr>
            <w:r w:rsidRPr="0060549B">
              <w:t xml:space="preserve">Permanent governance for CCDM is established for the organisation and for each ward/unit </w:t>
            </w:r>
          </w:p>
        </w:tc>
        <w:tc>
          <w:tcPr>
            <w:tcW w:w="9168" w:type="dxa"/>
            <w:tcBorders>
              <w:top w:val="single" w:sz="4" w:space="0" w:color="auto"/>
            </w:tcBorders>
            <w:shd w:val="clear" w:color="auto" w:fill="auto"/>
          </w:tcPr>
          <w:p w:rsidR="005201CE" w:rsidRPr="00D775D2" w:rsidRDefault="00164BA1" w:rsidP="00F20150">
            <w:pPr>
              <w:pStyle w:val="ListParagraph"/>
              <w:numPr>
                <w:ilvl w:val="0"/>
                <w:numId w:val="17"/>
              </w:numPr>
              <w:rPr>
                <w:sz w:val="20"/>
                <w:szCs w:val="20"/>
              </w:rPr>
            </w:pPr>
            <w:r w:rsidRPr="00D775D2">
              <w:rPr>
                <w:sz w:val="20"/>
                <w:szCs w:val="20"/>
              </w:rPr>
              <w:t>CCDM governance is well established</w:t>
            </w:r>
            <w:r w:rsidR="00F50307">
              <w:rPr>
                <w:sz w:val="20"/>
                <w:szCs w:val="20"/>
              </w:rPr>
              <w:t>.</w:t>
            </w:r>
          </w:p>
          <w:p w:rsidR="00164BA1" w:rsidRPr="00D775D2" w:rsidRDefault="00164BA1" w:rsidP="00F20150">
            <w:pPr>
              <w:pStyle w:val="ListParagraph"/>
              <w:numPr>
                <w:ilvl w:val="0"/>
                <w:numId w:val="17"/>
              </w:numPr>
              <w:rPr>
                <w:sz w:val="20"/>
                <w:szCs w:val="20"/>
              </w:rPr>
            </w:pPr>
            <w:r w:rsidRPr="00D775D2">
              <w:rPr>
                <w:sz w:val="20"/>
                <w:szCs w:val="20"/>
              </w:rPr>
              <w:t xml:space="preserve">Minutes and agendas </w:t>
            </w:r>
            <w:r w:rsidR="006B3205">
              <w:rPr>
                <w:sz w:val="20"/>
                <w:szCs w:val="20"/>
              </w:rPr>
              <w:t>with best endeavours are distributed a week before and a week after the meeting.  This has been delayed at times due to workload.</w:t>
            </w:r>
          </w:p>
          <w:p w:rsidR="00164BA1" w:rsidRPr="00D775D2" w:rsidRDefault="00164BA1" w:rsidP="00F20150">
            <w:pPr>
              <w:pStyle w:val="ListParagraph"/>
              <w:numPr>
                <w:ilvl w:val="0"/>
                <w:numId w:val="17"/>
              </w:numPr>
              <w:rPr>
                <w:sz w:val="20"/>
                <w:szCs w:val="20"/>
              </w:rPr>
            </w:pPr>
            <w:r w:rsidRPr="00D775D2">
              <w:rPr>
                <w:sz w:val="20"/>
                <w:szCs w:val="20"/>
              </w:rPr>
              <w:t>Each of the 3 components of the CCDM programme have well established operational working groups that link directly to the CCDM council.</w:t>
            </w:r>
            <w:r w:rsidR="006B3205">
              <w:rPr>
                <w:sz w:val="20"/>
                <w:szCs w:val="20"/>
              </w:rPr>
              <w:t xml:space="preserve">  These have their own terms of reference, are well attended and are assisting the CCDM programme to progress with momentum. </w:t>
            </w:r>
          </w:p>
          <w:p w:rsidR="00700D15" w:rsidRDefault="00164BA1" w:rsidP="00700D15">
            <w:pPr>
              <w:pStyle w:val="ListParagraph"/>
              <w:numPr>
                <w:ilvl w:val="0"/>
                <w:numId w:val="17"/>
              </w:numPr>
              <w:rPr>
                <w:sz w:val="20"/>
                <w:szCs w:val="20"/>
              </w:rPr>
            </w:pPr>
            <w:r w:rsidRPr="00D775D2">
              <w:rPr>
                <w:sz w:val="20"/>
                <w:szCs w:val="20"/>
              </w:rPr>
              <w:t xml:space="preserve">Local data councils are in place in all acuity rating areas in the general and maternity </w:t>
            </w:r>
            <w:r w:rsidR="00700D15">
              <w:rPr>
                <w:sz w:val="20"/>
                <w:szCs w:val="20"/>
              </w:rPr>
              <w:t>areas.</w:t>
            </w:r>
            <w:r w:rsidRPr="00D775D2">
              <w:rPr>
                <w:sz w:val="20"/>
                <w:szCs w:val="20"/>
              </w:rPr>
              <w:t xml:space="preserve"> </w:t>
            </w:r>
            <w:r w:rsidR="00700D15">
              <w:rPr>
                <w:sz w:val="20"/>
                <w:szCs w:val="20"/>
              </w:rPr>
              <w:t xml:space="preserve">Local data councils </w:t>
            </w:r>
            <w:r w:rsidR="006B3205">
              <w:rPr>
                <w:sz w:val="20"/>
                <w:szCs w:val="20"/>
              </w:rPr>
              <w:t>have been implemented for MHAIDS and are progressing well.</w:t>
            </w:r>
          </w:p>
          <w:p w:rsidR="00164BA1" w:rsidRDefault="00164BA1" w:rsidP="00700D15">
            <w:pPr>
              <w:pStyle w:val="ListParagraph"/>
              <w:numPr>
                <w:ilvl w:val="0"/>
                <w:numId w:val="17"/>
              </w:numPr>
              <w:rPr>
                <w:sz w:val="20"/>
                <w:szCs w:val="20"/>
              </w:rPr>
            </w:pPr>
            <w:r w:rsidRPr="00D775D2">
              <w:rPr>
                <w:sz w:val="20"/>
                <w:szCs w:val="20"/>
              </w:rPr>
              <w:t>Operational and governance functions are clear to all CCDM council and working group members.</w:t>
            </w:r>
          </w:p>
          <w:p w:rsidR="00F50307" w:rsidRPr="00D775D2" w:rsidRDefault="006B3205" w:rsidP="00700D15">
            <w:pPr>
              <w:pStyle w:val="ListParagraph"/>
              <w:numPr>
                <w:ilvl w:val="0"/>
                <w:numId w:val="17"/>
              </w:numPr>
              <w:rPr>
                <w:sz w:val="20"/>
                <w:szCs w:val="20"/>
              </w:rPr>
            </w:pPr>
            <w:r>
              <w:rPr>
                <w:sz w:val="20"/>
                <w:szCs w:val="20"/>
              </w:rPr>
              <w:t>Governance includes maternity, allied health, MHAIDS, surgical and medicine directorates as standard ensuring a whole of organisation approach.</w:t>
            </w:r>
          </w:p>
        </w:tc>
      </w:tr>
      <w:tr w:rsidR="0006260B" w:rsidTr="000E0334">
        <w:trPr>
          <w:trHeight w:val="2536"/>
        </w:trPr>
        <w:tc>
          <w:tcPr>
            <w:tcW w:w="5144" w:type="dxa"/>
            <w:shd w:val="clear" w:color="auto" w:fill="E6E4CC"/>
          </w:tcPr>
          <w:p w:rsidR="0006260B" w:rsidRPr="0060549B" w:rsidRDefault="0006260B" w:rsidP="005201CE">
            <w:pPr>
              <w:pStyle w:val="NoSpacing"/>
              <w:numPr>
                <w:ilvl w:val="0"/>
                <w:numId w:val="9"/>
              </w:numPr>
              <w:spacing w:line="276" w:lineRule="auto"/>
              <w:jc w:val="left"/>
            </w:pPr>
            <w:r w:rsidRPr="0060549B">
              <w:lastRenderedPageBreak/>
              <w:t xml:space="preserve">Permanent governance for CCDM is effective and operational for </w:t>
            </w:r>
          </w:p>
          <w:p w:rsidR="0006260B" w:rsidRPr="0060549B" w:rsidRDefault="0006260B" w:rsidP="005201CE">
            <w:pPr>
              <w:pStyle w:val="NoSpacing"/>
              <w:numPr>
                <w:ilvl w:val="1"/>
                <w:numId w:val="9"/>
              </w:numPr>
              <w:spacing w:line="276" w:lineRule="auto"/>
              <w:jc w:val="left"/>
            </w:pPr>
            <w:r w:rsidRPr="0060549B">
              <w:t xml:space="preserve">CCDM </w:t>
            </w:r>
            <w:r>
              <w:t>c</w:t>
            </w:r>
            <w:r w:rsidRPr="0060549B">
              <w:t>ouncil and</w:t>
            </w:r>
          </w:p>
          <w:p w:rsidR="0006260B" w:rsidRPr="00041F9D" w:rsidRDefault="0006260B" w:rsidP="00235BBD">
            <w:pPr>
              <w:pStyle w:val="NoSpacing"/>
              <w:numPr>
                <w:ilvl w:val="1"/>
                <w:numId w:val="9"/>
              </w:numPr>
              <w:spacing w:line="276" w:lineRule="auto"/>
              <w:jc w:val="left"/>
            </w:pPr>
            <w:r>
              <w:t>l</w:t>
            </w:r>
            <w:r w:rsidRPr="0060549B">
              <w:t xml:space="preserve">ocal </w:t>
            </w:r>
            <w:r>
              <w:t>d</w:t>
            </w:r>
            <w:r w:rsidRPr="0060549B">
              <w:t xml:space="preserve">ata </w:t>
            </w:r>
            <w:r>
              <w:t>c</w:t>
            </w:r>
            <w:r w:rsidRPr="0060549B">
              <w:t>ouncils</w:t>
            </w:r>
          </w:p>
        </w:tc>
        <w:tc>
          <w:tcPr>
            <w:tcW w:w="9168" w:type="dxa"/>
            <w:vMerge w:val="restart"/>
            <w:tcBorders>
              <w:top w:val="single" w:sz="4" w:space="0" w:color="auto"/>
              <w:bottom w:val="single" w:sz="4" w:space="0" w:color="auto"/>
            </w:tcBorders>
            <w:shd w:val="clear" w:color="auto" w:fill="auto"/>
          </w:tcPr>
          <w:p w:rsidR="0006260B" w:rsidRPr="00D775D2" w:rsidRDefault="0006260B" w:rsidP="00164BA1">
            <w:pPr>
              <w:pStyle w:val="ListParagraph"/>
              <w:numPr>
                <w:ilvl w:val="0"/>
                <w:numId w:val="18"/>
              </w:numPr>
              <w:rPr>
                <w:sz w:val="20"/>
                <w:szCs w:val="20"/>
              </w:rPr>
            </w:pPr>
            <w:r w:rsidRPr="00D775D2">
              <w:rPr>
                <w:sz w:val="20"/>
                <w:szCs w:val="20"/>
              </w:rPr>
              <w:t xml:space="preserve">Governance </w:t>
            </w:r>
            <w:r w:rsidR="00700D15">
              <w:rPr>
                <w:sz w:val="20"/>
                <w:szCs w:val="20"/>
              </w:rPr>
              <w:t xml:space="preserve">to date at all council meetings and </w:t>
            </w:r>
            <w:r w:rsidRPr="00D775D2">
              <w:rPr>
                <w:sz w:val="20"/>
                <w:szCs w:val="20"/>
              </w:rPr>
              <w:t xml:space="preserve"> working groups has been effective with good reporting and sign off of key milestones been achieved.</w:t>
            </w:r>
          </w:p>
          <w:p w:rsidR="0006260B" w:rsidRPr="00D775D2" w:rsidRDefault="0006260B" w:rsidP="00164BA1">
            <w:pPr>
              <w:pStyle w:val="ListParagraph"/>
              <w:numPr>
                <w:ilvl w:val="0"/>
                <w:numId w:val="18"/>
              </w:numPr>
              <w:rPr>
                <w:sz w:val="20"/>
                <w:szCs w:val="20"/>
              </w:rPr>
            </w:pPr>
            <w:r w:rsidRPr="00D775D2">
              <w:rPr>
                <w:sz w:val="20"/>
                <w:szCs w:val="20"/>
              </w:rPr>
              <w:t>Go</w:t>
            </w:r>
            <w:r w:rsidR="00700D15">
              <w:rPr>
                <w:sz w:val="20"/>
                <w:szCs w:val="20"/>
              </w:rPr>
              <w:t>vernance and partnership is being</w:t>
            </w:r>
            <w:r w:rsidRPr="00D775D2">
              <w:rPr>
                <w:sz w:val="20"/>
                <w:szCs w:val="20"/>
              </w:rPr>
              <w:t xml:space="preserve"> tested in relation to the staffing methodology aspect of the CCDM programme. </w:t>
            </w:r>
            <w:r w:rsidR="006B3205">
              <w:rPr>
                <w:sz w:val="20"/>
                <w:szCs w:val="20"/>
              </w:rPr>
              <w:t>Some delays have been experienced as further understanding of the methodology has been required along with a change in reporting requirements and further data analysis for some areas.</w:t>
            </w:r>
          </w:p>
          <w:p w:rsidR="0006260B" w:rsidRDefault="0006260B" w:rsidP="00164BA1">
            <w:pPr>
              <w:pStyle w:val="ListParagraph"/>
              <w:numPr>
                <w:ilvl w:val="0"/>
                <w:numId w:val="18"/>
              </w:numPr>
              <w:rPr>
                <w:sz w:val="20"/>
                <w:szCs w:val="20"/>
              </w:rPr>
            </w:pPr>
            <w:r w:rsidRPr="00D775D2">
              <w:rPr>
                <w:sz w:val="20"/>
                <w:szCs w:val="20"/>
              </w:rPr>
              <w:t>CCDM council meetings always achieve quorum with consistent attendance at meetings.</w:t>
            </w:r>
          </w:p>
          <w:p w:rsidR="00FF05BB" w:rsidRDefault="00FF05BB" w:rsidP="00164BA1">
            <w:pPr>
              <w:pStyle w:val="ListParagraph"/>
              <w:numPr>
                <w:ilvl w:val="0"/>
                <w:numId w:val="18"/>
              </w:numPr>
              <w:rPr>
                <w:sz w:val="20"/>
                <w:szCs w:val="20"/>
              </w:rPr>
            </w:pPr>
            <w:r>
              <w:rPr>
                <w:sz w:val="20"/>
                <w:szCs w:val="20"/>
              </w:rPr>
              <w:t>Cancellations of CCDM Council meetings were required for March and April due to the Covid response required from DHB.  Council meetings have been resumed as of June 2020.  CCDM work has continued throughout March and April with the CCDM programme manager.  The CCDM team was redeployed to necessary Covid planning.  The team has returned to CCDM work as of mid-May.</w:t>
            </w:r>
          </w:p>
          <w:p w:rsidR="004708AB" w:rsidRPr="00D775D2" w:rsidRDefault="004708AB" w:rsidP="00164BA1">
            <w:pPr>
              <w:pStyle w:val="ListParagraph"/>
              <w:numPr>
                <w:ilvl w:val="0"/>
                <w:numId w:val="18"/>
              </w:numPr>
              <w:rPr>
                <w:sz w:val="20"/>
                <w:szCs w:val="20"/>
              </w:rPr>
            </w:pPr>
            <w:r>
              <w:rPr>
                <w:sz w:val="20"/>
                <w:szCs w:val="20"/>
              </w:rPr>
              <w:t>The CCDM programme manager continued to provide monthly reports to the CCDM Council members during this time ensuring the programme in partnership continued.</w:t>
            </w:r>
          </w:p>
          <w:p w:rsidR="006B3205" w:rsidRDefault="0006260B" w:rsidP="000E0334">
            <w:pPr>
              <w:pStyle w:val="ListParagraph"/>
              <w:numPr>
                <w:ilvl w:val="0"/>
                <w:numId w:val="18"/>
              </w:numPr>
              <w:rPr>
                <w:sz w:val="20"/>
                <w:szCs w:val="20"/>
              </w:rPr>
            </w:pPr>
            <w:r w:rsidRPr="006B3205">
              <w:rPr>
                <w:sz w:val="20"/>
                <w:szCs w:val="20"/>
              </w:rPr>
              <w:t>Board updates are in place for the CCDM programme.</w:t>
            </w:r>
            <w:r w:rsidR="00D21307" w:rsidRPr="006B3205">
              <w:rPr>
                <w:sz w:val="20"/>
                <w:szCs w:val="20"/>
              </w:rPr>
              <w:t xml:space="preserve">  </w:t>
            </w:r>
            <w:r w:rsidR="006B3205">
              <w:rPr>
                <w:sz w:val="20"/>
                <w:szCs w:val="20"/>
              </w:rPr>
              <w:t>A recent update to the Board, to facilitate further understanding, in person by the CNO has been provided as the DHB progresses FTE calculations for the 2020-21 financial year.</w:t>
            </w:r>
          </w:p>
          <w:p w:rsidR="0006260B" w:rsidRDefault="00700D15" w:rsidP="000E0334">
            <w:pPr>
              <w:pStyle w:val="ListParagraph"/>
              <w:numPr>
                <w:ilvl w:val="0"/>
                <w:numId w:val="18"/>
              </w:numPr>
              <w:rPr>
                <w:sz w:val="20"/>
                <w:szCs w:val="20"/>
              </w:rPr>
            </w:pPr>
            <w:r w:rsidRPr="006B3205">
              <w:rPr>
                <w:sz w:val="20"/>
                <w:szCs w:val="20"/>
              </w:rPr>
              <w:t>A c</w:t>
            </w:r>
            <w:r w:rsidR="0006260B" w:rsidRPr="006B3205">
              <w:rPr>
                <w:sz w:val="20"/>
                <w:szCs w:val="20"/>
              </w:rPr>
              <w:t xml:space="preserve">ommunications strategy is in place for CCDM across the organisation. </w:t>
            </w:r>
          </w:p>
          <w:p w:rsidR="00FC6600" w:rsidRPr="006B3205" w:rsidRDefault="00FC6600" w:rsidP="000E0334">
            <w:pPr>
              <w:pStyle w:val="ListParagraph"/>
              <w:numPr>
                <w:ilvl w:val="0"/>
                <w:numId w:val="18"/>
              </w:numPr>
              <w:rPr>
                <w:sz w:val="20"/>
                <w:szCs w:val="20"/>
              </w:rPr>
            </w:pPr>
            <w:r>
              <w:rPr>
                <w:sz w:val="20"/>
                <w:szCs w:val="20"/>
              </w:rPr>
              <w:t>CCDM has a page in the DHB magazine with relevant updates, the bi-monthly staffing report and</w:t>
            </w:r>
            <w:r w:rsidR="00FF05BB">
              <w:rPr>
                <w:sz w:val="20"/>
                <w:szCs w:val="20"/>
              </w:rPr>
              <w:t xml:space="preserve"> enables regular</w:t>
            </w:r>
            <w:r>
              <w:rPr>
                <w:sz w:val="20"/>
                <w:szCs w:val="20"/>
              </w:rPr>
              <w:t xml:space="preserve"> information giving.</w:t>
            </w:r>
          </w:p>
          <w:p w:rsidR="0006260B" w:rsidRPr="00D775D2" w:rsidRDefault="00FC6600" w:rsidP="00FC6600">
            <w:pPr>
              <w:pStyle w:val="ListParagraph"/>
              <w:numPr>
                <w:ilvl w:val="0"/>
                <w:numId w:val="18"/>
              </w:numPr>
              <w:rPr>
                <w:sz w:val="20"/>
                <w:szCs w:val="20"/>
              </w:rPr>
            </w:pPr>
            <w:r>
              <w:rPr>
                <w:sz w:val="20"/>
                <w:szCs w:val="20"/>
              </w:rPr>
              <w:t>Further communication from the CCDM Council to the wards and delegates is being explored and will progress from June 2020.</w:t>
            </w:r>
          </w:p>
        </w:tc>
      </w:tr>
      <w:tr w:rsidR="0006260B" w:rsidTr="000E0334">
        <w:trPr>
          <w:trHeight w:val="281"/>
        </w:trPr>
        <w:tc>
          <w:tcPr>
            <w:tcW w:w="5144" w:type="dxa"/>
            <w:vMerge w:val="restart"/>
            <w:shd w:val="clear" w:color="auto" w:fill="E6E4CC"/>
          </w:tcPr>
          <w:p w:rsidR="0006260B" w:rsidRPr="00041F9D" w:rsidRDefault="0006260B" w:rsidP="00235BBD">
            <w:pPr>
              <w:pStyle w:val="NoSpacing"/>
              <w:numPr>
                <w:ilvl w:val="0"/>
                <w:numId w:val="9"/>
              </w:numPr>
              <w:spacing w:line="276" w:lineRule="auto"/>
              <w:jc w:val="left"/>
            </w:pPr>
            <w:r w:rsidRPr="00041F9D">
              <w:t xml:space="preserve">The </w:t>
            </w:r>
            <w:r w:rsidRPr="0060549B">
              <w:t xml:space="preserve">CCDM </w:t>
            </w:r>
            <w:r>
              <w:t>c</w:t>
            </w:r>
            <w:r w:rsidRPr="0060549B">
              <w:t xml:space="preserve">ouncil and ward/unit </w:t>
            </w:r>
            <w:r>
              <w:t>l</w:t>
            </w:r>
            <w:r w:rsidRPr="0060549B">
              <w:t xml:space="preserve">ocal </w:t>
            </w:r>
            <w:r>
              <w:t>d</w:t>
            </w:r>
            <w:r w:rsidRPr="0060549B">
              <w:t xml:space="preserve">ata </w:t>
            </w:r>
            <w:r>
              <w:t>c</w:t>
            </w:r>
            <w:r w:rsidRPr="0060549B">
              <w:t>ouncils establish</w:t>
            </w:r>
            <w:r>
              <w:t>,</w:t>
            </w:r>
            <w:r w:rsidRPr="0060549B">
              <w:t xml:space="preserve"> monitor and act on CCDM data for continuous</w:t>
            </w:r>
            <w:r w:rsidRPr="00041F9D">
              <w:t xml:space="preserve"> quality improvement.</w:t>
            </w:r>
          </w:p>
        </w:tc>
        <w:tc>
          <w:tcPr>
            <w:tcW w:w="9168" w:type="dxa"/>
            <w:vMerge/>
            <w:tcBorders>
              <w:bottom w:val="nil"/>
            </w:tcBorders>
            <w:shd w:val="clear" w:color="auto" w:fill="auto"/>
          </w:tcPr>
          <w:p w:rsidR="0006260B" w:rsidRPr="00D775D2" w:rsidRDefault="0006260B" w:rsidP="000E0334">
            <w:pPr>
              <w:pStyle w:val="ListParagraph"/>
              <w:ind w:left="459"/>
              <w:rPr>
                <w:sz w:val="20"/>
                <w:szCs w:val="20"/>
              </w:rPr>
            </w:pPr>
          </w:p>
        </w:tc>
      </w:tr>
      <w:tr w:rsidR="0006260B" w:rsidTr="0006260B">
        <w:trPr>
          <w:trHeight w:val="278"/>
        </w:trPr>
        <w:tc>
          <w:tcPr>
            <w:tcW w:w="5144" w:type="dxa"/>
            <w:vMerge/>
            <w:shd w:val="clear" w:color="auto" w:fill="E6E4CC"/>
          </w:tcPr>
          <w:p w:rsidR="0006260B" w:rsidRPr="00041F9D" w:rsidRDefault="0006260B" w:rsidP="005201CE">
            <w:pPr>
              <w:pStyle w:val="NoSpacing"/>
              <w:numPr>
                <w:ilvl w:val="0"/>
                <w:numId w:val="9"/>
              </w:numPr>
              <w:spacing w:line="276" w:lineRule="auto"/>
              <w:jc w:val="left"/>
            </w:pPr>
          </w:p>
        </w:tc>
        <w:tc>
          <w:tcPr>
            <w:tcW w:w="9168" w:type="dxa"/>
            <w:tcBorders>
              <w:top w:val="nil"/>
              <w:bottom w:val="nil"/>
            </w:tcBorders>
            <w:shd w:val="clear" w:color="auto" w:fill="auto"/>
          </w:tcPr>
          <w:p w:rsidR="0006260B" w:rsidRPr="00D775D2" w:rsidRDefault="00FF05BB" w:rsidP="0006260B">
            <w:pPr>
              <w:pStyle w:val="ListParagraph"/>
              <w:numPr>
                <w:ilvl w:val="0"/>
                <w:numId w:val="20"/>
              </w:numPr>
              <w:rPr>
                <w:sz w:val="20"/>
                <w:szCs w:val="20"/>
              </w:rPr>
            </w:pPr>
            <w:r>
              <w:rPr>
                <w:sz w:val="20"/>
                <w:szCs w:val="20"/>
              </w:rPr>
              <w:t>The core data</w:t>
            </w:r>
            <w:r w:rsidR="00423F99">
              <w:rPr>
                <w:sz w:val="20"/>
                <w:szCs w:val="20"/>
              </w:rPr>
              <w:t xml:space="preserve"> set</w:t>
            </w:r>
            <w:r>
              <w:rPr>
                <w:sz w:val="20"/>
                <w:szCs w:val="20"/>
              </w:rPr>
              <w:t>, established in Qlik, is enabling data driven decision making with clear visibility and transparency.</w:t>
            </w:r>
            <w:r w:rsidR="00423F99">
              <w:rPr>
                <w:sz w:val="20"/>
                <w:szCs w:val="20"/>
              </w:rPr>
              <w:t xml:space="preserve">  It is supporting the FTE calculations and variance response management.</w:t>
            </w:r>
            <w:r>
              <w:rPr>
                <w:sz w:val="20"/>
                <w:szCs w:val="20"/>
              </w:rPr>
              <w:t xml:space="preserve">  This is shared with the unions monthly prior to the CCDM Council meetings and within the core data set meetings.  The union organisers and </w:t>
            </w:r>
            <w:r w:rsidR="00423F99">
              <w:rPr>
                <w:sz w:val="20"/>
                <w:szCs w:val="20"/>
              </w:rPr>
              <w:t>PNA are</w:t>
            </w:r>
            <w:r>
              <w:rPr>
                <w:sz w:val="20"/>
                <w:szCs w:val="20"/>
              </w:rPr>
              <w:t xml:space="preserve"> also encouraged to review the data as required with the CCDM programme manager.</w:t>
            </w:r>
          </w:p>
          <w:p w:rsidR="0006260B" w:rsidRPr="00D775D2" w:rsidRDefault="0006260B" w:rsidP="0006260B">
            <w:pPr>
              <w:pStyle w:val="ListParagraph"/>
              <w:numPr>
                <w:ilvl w:val="0"/>
                <w:numId w:val="20"/>
              </w:numPr>
              <w:rPr>
                <w:sz w:val="20"/>
                <w:szCs w:val="20"/>
              </w:rPr>
            </w:pPr>
            <w:r w:rsidRPr="00D775D2">
              <w:rPr>
                <w:sz w:val="20"/>
                <w:szCs w:val="20"/>
              </w:rPr>
              <w:t xml:space="preserve">There is an </w:t>
            </w:r>
            <w:r w:rsidRPr="009915C2">
              <w:rPr>
                <w:sz w:val="20"/>
                <w:szCs w:val="20"/>
              </w:rPr>
              <w:t>expectation that all line managers will use the</w:t>
            </w:r>
            <w:r w:rsidRPr="00D775D2">
              <w:rPr>
                <w:sz w:val="20"/>
                <w:szCs w:val="20"/>
              </w:rPr>
              <w:t xml:space="preserve"> Data within Qlik to report on </w:t>
            </w:r>
            <w:proofErr w:type="gramStart"/>
            <w:r w:rsidRPr="00D775D2">
              <w:rPr>
                <w:sz w:val="20"/>
                <w:szCs w:val="20"/>
              </w:rPr>
              <w:t>KPI ‘s</w:t>
            </w:r>
            <w:proofErr w:type="gramEnd"/>
            <w:r w:rsidRPr="00D775D2">
              <w:rPr>
                <w:sz w:val="20"/>
                <w:szCs w:val="20"/>
              </w:rPr>
              <w:t>.</w:t>
            </w:r>
          </w:p>
          <w:p w:rsidR="0006260B" w:rsidRPr="00D775D2" w:rsidRDefault="0006260B" w:rsidP="0006260B">
            <w:pPr>
              <w:pStyle w:val="ListParagraph"/>
              <w:numPr>
                <w:ilvl w:val="0"/>
                <w:numId w:val="20"/>
              </w:numPr>
              <w:rPr>
                <w:sz w:val="20"/>
                <w:szCs w:val="20"/>
              </w:rPr>
            </w:pPr>
            <w:r w:rsidRPr="00D775D2">
              <w:rPr>
                <w:sz w:val="20"/>
                <w:szCs w:val="20"/>
              </w:rPr>
              <w:t xml:space="preserve">Each unit </w:t>
            </w:r>
            <w:r w:rsidR="00423F99">
              <w:rPr>
                <w:sz w:val="20"/>
                <w:szCs w:val="20"/>
              </w:rPr>
              <w:t>has</w:t>
            </w:r>
            <w:r w:rsidRPr="009915C2">
              <w:rPr>
                <w:sz w:val="20"/>
                <w:szCs w:val="20"/>
              </w:rPr>
              <w:t xml:space="preserve"> access to their departmental</w:t>
            </w:r>
            <w:r w:rsidRPr="00D775D2">
              <w:rPr>
                <w:sz w:val="20"/>
                <w:szCs w:val="20"/>
              </w:rPr>
              <w:t xml:space="preserve"> data to drive continuous quality improvement over time.</w:t>
            </w:r>
          </w:p>
          <w:p w:rsidR="0006260B" w:rsidRPr="00423F99" w:rsidRDefault="0006260B" w:rsidP="00423F99">
            <w:pPr>
              <w:ind w:left="360"/>
              <w:rPr>
                <w:sz w:val="20"/>
                <w:szCs w:val="20"/>
              </w:rPr>
            </w:pPr>
          </w:p>
        </w:tc>
      </w:tr>
      <w:tr w:rsidR="0006260B" w:rsidTr="00352EC3">
        <w:trPr>
          <w:trHeight w:val="277"/>
        </w:trPr>
        <w:tc>
          <w:tcPr>
            <w:tcW w:w="5144" w:type="dxa"/>
            <w:vMerge/>
            <w:shd w:val="clear" w:color="auto" w:fill="E6E4CC"/>
          </w:tcPr>
          <w:p w:rsidR="0006260B" w:rsidRPr="00041F9D" w:rsidRDefault="0006260B" w:rsidP="005201CE">
            <w:pPr>
              <w:pStyle w:val="NoSpacing"/>
              <w:numPr>
                <w:ilvl w:val="0"/>
                <w:numId w:val="9"/>
              </w:numPr>
              <w:spacing w:line="276" w:lineRule="auto"/>
              <w:jc w:val="left"/>
            </w:pPr>
          </w:p>
        </w:tc>
        <w:tc>
          <w:tcPr>
            <w:tcW w:w="9168" w:type="dxa"/>
            <w:tcBorders>
              <w:top w:val="nil"/>
            </w:tcBorders>
            <w:shd w:val="clear" w:color="auto" w:fill="auto"/>
          </w:tcPr>
          <w:p w:rsidR="0006260B" w:rsidRPr="0016676D" w:rsidRDefault="0006260B" w:rsidP="0016676D">
            <w:pPr>
              <w:rPr>
                <w:i/>
                <w:sz w:val="20"/>
                <w:szCs w:val="20"/>
              </w:rPr>
            </w:pPr>
          </w:p>
        </w:tc>
      </w:tr>
    </w:tbl>
    <w:p w:rsidR="005201CE" w:rsidRDefault="005201CE" w:rsidP="005201CE"/>
    <w:tbl>
      <w:tblPr>
        <w:tblStyle w:val="TableGrid"/>
        <w:tblW w:w="0" w:type="auto"/>
        <w:tblLook w:val="04A0" w:firstRow="1" w:lastRow="0" w:firstColumn="1" w:lastColumn="0" w:noHBand="0" w:noVBand="1"/>
      </w:tblPr>
      <w:tblGrid>
        <w:gridCol w:w="3510"/>
        <w:gridCol w:w="4111"/>
        <w:gridCol w:w="3260"/>
        <w:gridCol w:w="3402"/>
      </w:tblGrid>
      <w:tr w:rsidR="005201CE" w:rsidTr="00352EC3">
        <w:tc>
          <w:tcPr>
            <w:tcW w:w="14283" w:type="dxa"/>
            <w:gridSpan w:val="4"/>
            <w:shd w:val="clear" w:color="auto" w:fill="BFB97F"/>
          </w:tcPr>
          <w:p w:rsidR="005201CE" w:rsidRPr="002112FE" w:rsidRDefault="005201CE" w:rsidP="000E0334">
            <w:pPr>
              <w:pStyle w:val="NoSpacing"/>
              <w:spacing w:before="60" w:after="60"/>
              <w:rPr>
                <w:b/>
              </w:rPr>
            </w:pPr>
            <w:r w:rsidRPr="002112FE">
              <w:rPr>
                <w:b/>
              </w:rPr>
              <w:t xml:space="preserve">Standard overall attainment </w:t>
            </w:r>
          </w:p>
        </w:tc>
      </w:tr>
      <w:tr w:rsidR="005201CE" w:rsidTr="000E0334">
        <w:tc>
          <w:tcPr>
            <w:tcW w:w="3510" w:type="dxa"/>
            <w:shd w:val="clear" w:color="auto" w:fill="auto"/>
          </w:tcPr>
          <w:p w:rsidR="005201CE" w:rsidRDefault="002749DA" w:rsidP="000E0334">
            <w:pPr>
              <w:pStyle w:val="NoSpacing"/>
              <w:spacing w:before="60" w:after="60"/>
            </w:pPr>
            <w:sdt>
              <w:sdtPr>
                <w:id w:val="744998869"/>
                <w14:checkbox>
                  <w14:checked w14:val="0"/>
                  <w14:checkedState w14:val="2612" w14:font="MS Gothic"/>
                  <w14:uncheckedState w14:val="2610" w14:font="MS Gothic"/>
                </w14:checkbox>
              </w:sdtPr>
              <w:sdtEndPr/>
              <w:sdtContent>
                <w:r w:rsidR="005201CE">
                  <w:rPr>
                    <w:rFonts w:ascii="MS Gothic" w:eastAsia="MS Gothic" w:hint="eastAsia"/>
                  </w:rPr>
                  <w:t>☐</w:t>
                </w:r>
              </w:sdtContent>
            </w:sdt>
            <w:r w:rsidR="005201CE">
              <w:t xml:space="preserve"> NA – Not attained</w:t>
            </w:r>
          </w:p>
        </w:tc>
        <w:tc>
          <w:tcPr>
            <w:tcW w:w="4111" w:type="dxa"/>
            <w:shd w:val="clear" w:color="auto" w:fill="auto"/>
          </w:tcPr>
          <w:p w:rsidR="005201CE" w:rsidRDefault="002749DA" w:rsidP="000E0334">
            <w:pPr>
              <w:pStyle w:val="NoSpacing"/>
              <w:spacing w:before="60" w:after="60"/>
            </w:pPr>
            <w:sdt>
              <w:sdtPr>
                <w:id w:val="-1823260153"/>
                <w14:checkbox>
                  <w14:checked w14:val="0"/>
                  <w14:checkedState w14:val="2612" w14:font="MS Gothic"/>
                  <w14:uncheckedState w14:val="2610" w14:font="MS Gothic"/>
                </w14:checkbox>
              </w:sdtPr>
              <w:sdtEndPr/>
              <w:sdtContent>
                <w:r w:rsidR="00423F99">
                  <w:rPr>
                    <w:rFonts w:ascii="MS Gothic" w:eastAsia="MS Gothic" w:hAnsi="MS Gothic" w:hint="eastAsia"/>
                  </w:rPr>
                  <w:t>☐</w:t>
                </w:r>
              </w:sdtContent>
            </w:sdt>
            <w:r w:rsidR="005201CE">
              <w:t xml:space="preserve"> PA – Partially attained </w:t>
            </w:r>
          </w:p>
        </w:tc>
        <w:tc>
          <w:tcPr>
            <w:tcW w:w="3260" w:type="dxa"/>
            <w:shd w:val="clear" w:color="auto" w:fill="auto"/>
          </w:tcPr>
          <w:p w:rsidR="005201CE" w:rsidRDefault="002749DA" w:rsidP="000E0334">
            <w:pPr>
              <w:pStyle w:val="NoSpacing"/>
              <w:spacing w:before="60" w:after="60"/>
            </w:pPr>
            <w:sdt>
              <w:sdtPr>
                <w:id w:val="1139920904"/>
                <w14:checkbox>
                  <w14:checked w14:val="1"/>
                  <w14:checkedState w14:val="2612" w14:font="MS Gothic"/>
                  <w14:uncheckedState w14:val="2610" w14:font="MS Gothic"/>
                </w14:checkbox>
              </w:sdtPr>
              <w:sdtEndPr/>
              <w:sdtContent>
                <w:r w:rsidR="00423F99">
                  <w:rPr>
                    <w:rFonts w:ascii="MS Gothic" w:eastAsia="MS Gothic" w:hAnsi="MS Gothic" w:hint="eastAsia"/>
                  </w:rPr>
                  <w:t>☒</w:t>
                </w:r>
              </w:sdtContent>
            </w:sdt>
            <w:r w:rsidR="005201CE">
              <w:t xml:space="preserve"> FA – Fully attained</w:t>
            </w:r>
          </w:p>
        </w:tc>
        <w:tc>
          <w:tcPr>
            <w:tcW w:w="3402" w:type="dxa"/>
            <w:shd w:val="clear" w:color="auto" w:fill="auto"/>
          </w:tcPr>
          <w:p w:rsidR="005201CE" w:rsidRDefault="002749DA" w:rsidP="008F1BD0">
            <w:pPr>
              <w:pStyle w:val="NoSpacing"/>
              <w:spacing w:before="60" w:after="60"/>
            </w:pPr>
            <w:sdt>
              <w:sdtPr>
                <w:id w:val="647568602"/>
                <w14:checkbox>
                  <w14:checked w14:val="0"/>
                  <w14:checkedState w14:val="2612" w14:font="MS Gothic"/>
                  <w14:uncheckedState w14:val="2610" w14:font="MS Gothic"/>
                </w14:checkbox>
              </w:sdtPr>
              <w:sdtEndPr/>
              <w:sdtContent>
                <w:r w:rsidR="005201CE">
                  <w:rPr>
                    <w:rFonts w:ascii="MS Gothic" w:eastAsia="MS Gothic" w:hAnsi="MS Gothic" w:hint="eastAsia"/>
                  </w:rPr>
                  <w:t>☐</w:t>
                </w:r>
              </w:sdtContent>
            </w:sdt>
            <w:r w:rsidR="005201CE">
              <w:t xml:space="preserve"> CI – Continuous </w:t>
            </w:r>
            <w:r w:rsidR="008F1BD0">
              <w:t>im</w:t>
            </w:r>
            <w:r w:rsidR="005201CE">
              <w:t xml:space="preserve">provement </w:t>
            </w:r>
          </w:p>
        </w:tc>
      </w:tr>
    </w:tbl>
    <w:p w:rsidR="005201CE" w:rsidRDefault="005201CE" w:rsidP="005201CE">
      <w:pPr>
        <w:rPr>
          <w:b/>
          <w:sz w:val="28"/>
          <w:szCs w:val="28"/>
        </w:rPr>
      </w:pPr>
    </w:p>
    <w:tbl>
      <w:tblPr>
        <w:tblStyle w:val="TableGrid"/>
        <w:tblW w:w="0" w:type="auto"/>
        <w:tblLook w:val="04A0" w:firstRow="1" w:lastRow="0" w:firstColumn="1" w:lastColumn="0" w:noHBand="0" w:noVBand="1"/>
      </w:tblPr>
      <w:tblGrid>
        <w:gridCol w:w="14338"/>
      </w:tblGrid>
      <w:tr w:rsidR="005201CE" w:rsidTr="000E0334">
        <w:tc>
          <w:tcPr>
            <w:tcW w:w="14338" w:type="dxa"/>
            <w:tcBorders>
              <w:left w:val="nil"/>
              <w:bottom w:val="single" w:sz="4" w:space="0" w:color="auto"/>
              <w:right w:val="nil"/>
            </w:tcBorders>
          </w:tcPr>
          <w:p w:rsidR="00EB2D06" w:rsidRDefault="005201CE" w:rsidP="009915C2">
            <w:pPr>
              <w:spacing w:before="60" w:after="60"/>
              <w:rPr>
                <w:b/>
                <w:sz w:val="24"/>
              </w:rPr>
            </w:pPr>
            <w:r w:rsidRPr="00931259">
              <w:rPr>
                <w:rStyle w:val="Heading3Char"/>
              </w:rPr>
              <w:t xml:space="preserve">Areas of </w:t>
            </w:r>
            <w:r w:rsidR="008F1BD0" w:rsidRPr="00931259">
              <w:rPr>
                <w:rStyle w:val="Heading3Char"/>
              </w:rPr>
              <w:t>c</w:t>
            </w:r>
            <w:r w:rsidRPr="00931259">
              <w:rPr>
                <w:rStyle w:val="Heading3Char"/>
              </w:rPr>
              <w:t>ommendation:</w:t>
            </w:r>
            <w:r>
              <w:rPr>
                <w:b/>
                <w:sz w:val="24"/>
              </w:rPr>
              <w:t xml:space="preserve"> </w:t>
            </w:r>
          </w:p>
          <w:p w:rsidR="00931259" w:rsidRDefault="00931259" w:rsidP="009915C2">
            <w:pPr>
              <w:spacing w:before="60" w:after="60"/>
              <w:rPr>
                <w:sz w:val="24"/>
              </w:rPr>
            </w:pPr>
            <w:r>
              <w:rPr>
                <w:sz w:val="24"/>
              </w:rPr>
              <w:t>Representation of whole of organisation is enabled through CCDM governance from the CCDM Council through to work streams.  Allied health, maternity, MHAIDS, surgical and medical have representation throughout the CCDM programme at CCDHB.</w:t>
            </w:r>
          </w:p>
          <w:p w:rsidR="00931259" w:rsidRDefault="00931259" w:rsidP="009915C2">
            <w:pPr>
              <w:spacing w:before="60" w:after="60"/>
              <w:rPr>
                <w:sz w:val="24"/>
              </w:rPr>
            </w:pPr>
            <w:r>
              <w:rPr>
                <w:sz w:val="24"/>
              </w:rPr>
              <w:t>Council attendance is consistent with a good balance of representation for all.</w:t>
            </w:r>
          </w:p>
          <w:p w:rsidR="00931259" w:rsidRDefault="00931259" w:rsidP="009915C2">
            <w:pPr>
              <w:spacing w:before="60" w:after="60"/>
              <w:rPr>
                <w:sz w:val="24"/>
              </w:rPr>
            </w:pPr>
            <w:r>
              <w:rPr>
                <w:sz w:val="24"/>
              </w:rPr>
              <w:t>The partnership charter and framework established through</w:t>
            </w:r>
            <w:r w:rsidR="00A0344C">
              <w:rPr>
                <w:sz w:val="24"/>
              </w:rPr>
              <w:t>out</w:t>
            </w:r>
            <w:r>
              <w:rPr>
                <w:sz w:val="24"/>
              </w:rPr>
              <w:t xml:space="preserve"> the programme is maintained enabling a high level of respect</w:t>
            </w:r>
            <w:r w:rsidR="00A0344C">
              <w:rPr>
                <w:sz w:val="24"/>
              </w:rPr>
              <w:t>, inclusion and decision making during all meetings.</w:t>
            </w:r>
          </w:p>
          <w:p w:rsidR="00A0344C" w:rsidRDefault="00A0344C" w:rsidP="009915C2">
            <w:pPr>
              <w:spacing w:before="60" w:after="60"/>
              <w:rPr>
                <w:sz w:val="24"/>
              </w:rPr>
            </w:pPr>
            <w:r>
              <w:rPr>
                <w:sz w:val="24"/>
              </w:rPr>
              <w:t xml:space="preserve">The partnership established at CCDHB is exemplary practising partnership in action throughout the programme.  This again is supported by the partnership charter and framework. </w:t>
            </w:r>
          </w:p>
          <w:p w:rsidR="002B3D8B" w:rsidRPr="00FD4CAC" w:rsidRDefault="002B3D8B" w:rsidP="00C35ADC">
            <w:pPr>
              <w:spacing w:before="60" w:after="60"/>
              <w:rPr>
                <w:b/>
                <w:sz w:val="24"/>
              </w:rPr>
            </w:pPr>
          </w:p>
        </w:tc>
      </w:tr>
      <w:tr w:rsidR="005201CE" w:rsidTr="000E0334">
        <w:tc>
          <w:tcPr>
            <w:tcW w:w="14338" w:type="dxa"/>
            <w:tcBorders>
              <w:left w:val="nil"/>
              <w:right w:val="nil"/>
            </w:tcBorders>
          </w:tcPr>
          <w:p w:rsidR="002B3D8B" w:rsidRPr="00A0344C" w:rsidRDefault="005201CE" w:rsidP="000E0334">
            <w:pPr>
              <w:spacing w:before="60" w:after="60"/>
              <w:rPr>
                <w:b/>
                <w:sz w:val="24"/>
              </w:rPr>
            </w:pPr>
            <w:r w:rsidRPr="00A0344C">
              <w:rPr>
                <w:rStyle w:val="Heading3Char"/>
              </w:rPr>
              <w:t>Areas for improvement opportunities:</w:t>
            </w:r>
            <w:r w:rsidRPr="00A0344C">
              <w:rPr>
                <w:b/>
                <w:sz w:val="24"/>
              </w:rPr>
              <w:t xml:space="preserve"> </w:t>
            </w:r>
          </w:p>
          <w:p w:rsidR="00050C60" w:rsidRDefault="00A0344C" w:rsidP="000E0334">
            <w:pPr>
              <w:spacing w:before="60" w:after="60"/>
              <w:rPr>
                <w:sz w:val="24"/>
              </w:rPr>
            </w:pPr>
            <w:r w:rsidRPr="00A0344C">
              <w:rPr>
                <w:sz w:val="24"/>
              </w:rPr>
              <w:t xml:space="preserve">The CCDM Council </w:t>
            </w:r>
            <w:r>
              <w:rPr>
                <w:sz w:val="24"/>
              </w:rPr>
              <w:t>is progressing with CCDM in allied health.  A dedicated CCDM coordinator FTE is required to facilitate this.  Current FTE is for nursing and midwifery.</w:t>
            </w:r>
          </w:p>
          <w:p w:rsidR="00A0344C" w:rsidRPr="00C35ADC" w:rsidRDefault="001B5D54" w:rsidP="000E0334">
            <w:pPr>
              <w:spacing w:before="60" w:after="60"/>
              <w:rPr>
                <w:sz w:val="24"/>
                <w:highlight w:val="yellow"/>
              </w:rPr>
            </w:pPr>
            <w:r>
              <w:rPr>
                <w:sz w:val="24"/>
              </w:rPr>
              <w:t>Continue with education to facilitate CCDM literacy throughout the organisation.</w:t>
            </w:r>
          </w:p>
        </w:tc>
      </w:tr>
    </w:tbl>
    <w:p w:rsidR="005201CE" w:rsidRPr="007F21EC" w:rsidRDefault="005201CE" w:rsidP="008F1BD0">
      <w:pPr>
        <w:pStyle w:val="Heading2"/>
      </w:pPr>
      <w:r>
        <w:br w:type="page"/>
      </w:r>
      <w:r w:rsidRPr="007F21EC">
        <w:lastRenderedPageBreak/>
        <w:t xml:space="preserve">Standard 2.0 – Validated </w:t>
      </w:r>
      <w:r w:rsidR="00961F09">
        <w:t>p</w:t>
      </w:r>
      <w:r w:rsidRPr="007F21EC">
        <w:t xml:space="preserve">atient </w:t>
      </w:r>
      <w:r w:rsidR="00961F09">
        <w:t>a</w:t>
      </w:r>
      <w:r w:rsidRPr="007F21EC">
        <w:t xml:space="preserve">cuity </w:t>
      </w:r>
      <w:r w:rsidR="00961F09">
        <w:t>t</w:t>
      </w:r>
      <w:r w:rsidRPr="007F21EC">
        <w:t>ool</w:t>
      </w:r>
    </w:p>
    <w:tbl>
      <w:tblPr>
        <w:tblStyle w:val="TableGrid"/>
        <w:tblW w:w="5000" w:type="pct"/>
        <w:shd w:val="clear" w:color="auto" w:fill="BFB97F"/>
        <w:tblLook w:val="04A0" w:firstRow="1" w:lastRow="0" w:firstColumn="1" w:lastColumn="0" w:noHBand="0" w:noVBand="1"/>
      </w:tblPr>
      <w:tblGrid>
        <w:gridCol w:w="14702"/>
      </w:tblGrid>
      <w:tr w:rsidR="005201CE" w:rsidTr="00352EC3">
        <w:tc>
          <w:tcPr>
            <w:tcW w:w="5000" w:type="pct"/>
            <w:shd w:val="clear" w:color="auto" w:fill="BFB97F"/>
          </w:tcPr>
          <w:p w:rsidR="005201CE" w:rsidRPr="00041F9D" w:rsidRDefault="005201CE" w:rsidP="000E0334">
            <w:pPr>
              <w:rPr>
                <w:b/>
              </w:rPr>
            </w:pPr>
            <w:r>
              <w:rPr>
                <w:b/>
              </w:rPr>
              <w:t>Standard 2</w:t>
            </w:r>
            <w:r w:rsidRPr="00041F9D">
              <w:rPr>
                <w:b/>
              </w:rPr>
              <w:t xml:space="preserve">.0 </w:t>
            </w:r>
          </w:p>
          <w:p w:rsidR="005201CE" w:rsidRPr="0044173E" w:rsidRDefault="005201CE" w:rsidP="000E0334">
            <w:r w:rsidRPr="00041F9D">
              <w:t>The validated patient acuity tool underpins care capacity demand m</w:t>
            </w:r>
            <w:r>
              <w:t>anagement for service delivery.</w:t>
            </w:r>
          </w:p>
        </w:tc>
      </w:tr>
    </w:tbl>
    <w:p w:rsidR="005201CE" w:rsidRDefault="005201CE" w:rsidP="005201CE">
      <w:pPr>
        <w:pStyle w:val="NoSpacing"/>
      </w:pPr>
    </w:p>
    <w:tbl>
      <w:tblPr>
        <w:tblStyle w:val="TableGrid"/>
        <w:tblW w:w="5000" w:type="pct"/>
        <w:tblLook w:val="04A0" w:firstRow="1" w:lastRow="0" w:firstColumn="1" w:lastColumn="0" w:noHBand="0" w:noVBand="1"/>
      </w:tblPr>
      <w:tblGrid>
        <w:gridCol w:w="5343"/>
        <w:gridCol w:w="9359"/>
      </w:tblGrid>
      <w:tr w:rsidR="00933007" w:rsidTr="00352EC3">
        <w:trPr>
          <w:trHeight w:val="271"/>
          <w:tblHeader/>
        </w:trPr>
        <w:tc>
          <w:tcPr>
            <w:tcW w:w="1817" w:type="pct"/>
            <w:shd w:val="clear" w:color="auto" w:fill="BFB97F"/>
          </w:tcPr>
          <w:p w:rsidR="00933007" w:rsidRPr="00041F9D" w:rsidRDefault="00933007" w:rsidP="000E0334">
            <w:pPr>
              <w:spacing w:after="200"/>
              <w:rPr>
                <w:b/>
                <w:szCs w:val="28"/>
              </w:rPr>
            </w:pPr>
            <w:r w:rsidRPr="00041F9D">
              <w:rPr>
                <w:b/>
                <w:szCs w:val="28"/>
              </w:rPr>
              <w:t>Criteria</w:t>
            </w:r>
          </w:p>
        </w:tc>
        <w:tc>
          <w:tcPr>
            <w:tcW w:w="3183" w:type="pct"/>
            <w:tcBorders>
              <w:bottom w:val="single" w:sz="4" w:space="0" w:color="auto"/>
            </w:tcBorders>
            <w:shd w:val="clear" w:color="auto" w:fill="BFB97F"/>
          </w:tcPr>
          <w:p w:rsidR="00933007" w:rsidRPr="00041F9D" w:rsidRDefault="00933007" w:rsidP="007F1935">
            <w:pPr>
              <w:rPr>
                <w:b/>
                <w:szCs w:val="28"/>
              </w:rPr>
            </w:pPr>
            <w:r>
              <w:rPr>
                <w:b/>
                <w:szCs w:val="28"/>
              </w:rPr>
              <w:t xml:space="preserve">Evidence </w:t>
            </w:r>
            <w:r w:rsidRPr="00600CC8">
              <w:rPr>
                <w:szCs w:val="28"/>
              </w:rPr>
              <w:t>(</w:t>
            </w:r>
            <w:r w:rsidRPr="00600CC8">
              <w:rPr>
                <w:i/>
                <w:szCs w:val="28"/>
              </w:rPr>
              <w:t>use standards guidance</w:t>
            </w:r>
            <w:r w:rsidRPr="00600CC8">
              <w:rPr>
                <w:szCs w:val="28"/>
              </w:rPr>
              <w:t>)</w:t>
            </w:r>
            <w:r>
              <w:rPr>
                <w:szCs w:val="28"/>
              </w:rPr>
              <w:t xml:space="preserve"> expectation is to see evidence at Executive / </w:t>
            </w:r>
            <w:r w:rsidR="007F1935">
              <w:rPr>
                <w:szCs w:val="28"/>
              </w:rPr>
              <w:t>d</w:t>
            </w:r>
            <w:r>
              <w:rPr>
                <w:szCs w:val="28"/>
              </w:rPr>
              <w:t>irectorate</w:t>
            </w:r>
            <w:r w:rsidR="006E6F00">
              <w:rPr>
                <w:szCs w:val="28"/>
              </w:rPr>
              <w:t xml:space="preserve">/service </w:t>
            </w:r>
            <w:r>
              <w:rPr>
                <w:szCs w:val="28"/>
              </w:rPr>
              <w:t xml:space="preserve"> and </w:t>
            </w:r>
            <w:r w:rsidR="007F1935">
              <w:rPr>
                <w:szCs w:val="28"/>
              </w:rPr>
              <w:t>w</w:t>
            </w:r>
            <w:r>
              <w:rPr>
                <w:szCs w:val="28"/>
              </w:rPr>
              <w:t>ard level</w:t>
            </w:r>
          </w:p>
        </w:tc>
      </w:tr>
      <w:tr w:rsidR="00933007" w:rsidTr="007F1935">
        <w:trPr>
          <w:trHeight w:val="860"/>
        </w:trPr>
        <w:tc>
          <w:tcPr>
            <w:tcW w:w="1817" w:type="pct"/>
            <w:shd w:val="clear" w:color="auto" w:fill="E6E4CC"/>
          </w:tcPr>
          <w:p w:rsidR="00933007" w:rsidRPr="00041F9D" w:rsidRDefault="00933007" w:rsidP="00933007">
            <w:pPr>
              <w:pStyle w:val="NoSpacing"/>
              <w:numPr>
                <w:ilvl w:val="0"/>
                <w:numId w:val="10"/>
              </w:numPr>
              <w:spacing w:line="276" w:lineRule="auto"/>
              <w:jc w:val="left"/>
            </w:pPr>
            <w:r w:rsidRPr="00041F9D">
              <w:t xml:space="preserve">There is a Validated Patient Acuity Committee that </w:t>
            </w:r>
            <w:r>
              <w:t xml:space="preserve">is </w:t>
            </w:r>
            <w:r w:rsidRPr="00041F9D">
              <w:t>effective and operational</w:t>
            </w:r>
            <w:r>
              <w:t>.</w:t>
            </w:r>
          </w:p>
        </w:tc>
        <w:tc>
          <w:tcPr>
            <w:tcW w:w="3183" w:type="pct"/>
            <w:shd w:val="clear" w:color="auto" w:fill="auto"/>
          </w:tcPr>
          <w:p w:rsidR="00933007" w:rsidRPr="00C15950" w:rsidRDefault="00C15950" w:rsidP="00C15950">
            <w:pPr>
              <w:pStyle w:val="ListParagraph"/>
              <w:numPr>
                <w:ilvl w:val="0"/>
                <w:numId w:val="29"/>
              </w:numPr>
              <w:rPr>
                <w:sz w:val="20"/>
                <w:szCs w:val="20"/>
              </w:rPr>
            </w:pPr>
            <w:r>
              <w:rPr>
                <w:sz w:val="20"/>
                <w:szCs w:val="20"/>
              </w:rPr>
              <w:t xml:space="preserve">The TrendCare operational group (with a terms of </w:t>
            </w:r>
            <w:r w:rsidR="009F642F">
              <w:rPr>
                <w:sz w:val="20"/>
                <w:szCs w:val="20"/>
              </w:rPr>
              <w:t xml:space="preserve">reference) </w:t>
            </w:r>
            <w:r>
              <w:rPr>
                <w:sz w:val="20"/>
                <w:szCs w:val="20"/>
              </w:rPr>
              <w:t>meets monthly.  Meetings have an Agenda, are minuted and are well attended</w:t>
            </w:r>
            <w:r w:rsidR="009F642F">
              <w:rPr>
                <w:sz w:val="20"/>
                <w:szCs w:val="20"/>
              </w:rPr>
              <w:t xml:space="preserve"> with quorum met</w:t>
            </w:r>
            <w:r>
              <w:rPr>
                <w:sz w:val="20"/>
                <w:szCs w:val="20"/>
              </w:rPr>
              <w:t>.  Actions are followed through.</w:t>
            </w:r>
          </w:p>
        </w:tc>
      </w:tr>
      <w:tr w:rsidR="00933007" w:rsidTr="007F1935">
        <w:trPr>
          <w:trHeight w:val="756"/>
        </w:trPr>
        <w:tc>
          <w:tcPr>
            <w:tcW w:w="1817" w:type="pct"/>
            <w:shd w:val="clear" w:color="auto" w:fill="E6E4CC"/>
          </w:tcPr>
          <w:p w:rsidR="00933007" w:rsidRPr="0041514F" w:rsidRDefault="00933007" w:rsidP="00933007">
            <w:pPr>
              <w:pStyle w:val="NoSpacing"/>
              <w:numPr>
                <w:ilvl w:val="0"/>
                <w:numId w:val="10"/>
              </w:numPr>
              <w:spacing w:line="276" w:lineRule="auto"/>
              <w:jc w:val="left"/>
            </w:pPr>
            <w:r w:rsidRPr="0041514F">
              <w:t xml:space="preserve">There is dedicated coordinator </w:t>
            </w:r>
            <w:r>
              <w:t>FTE</w:t>
            </w:r>
            <w:r w:rsidRPr="0041514F">
              <w:t xml:space="preserve"> for managing the validated patient acuity system.</w:t>
            </w:r>
          </w:p>
        </w:tc>
        <w:tc>
          <w:tcPr>
            <w:tcW w:w="3183" w:type="pct"/>
            <w:shd w:val="clear" w:color="auto" w:fill="auto"/>
          </w:tcPr>
          <w:p w:rsidR="00D775D2" w:rsidRDefault="00D775D2" w:rsidP="009915C2">
            <w:pPr>
              <w:pStyle w:val="ListParagraph"/>
              <w:numPr>
                <w:ilvl w:val="0"/>
                <w:numId w:val="21"/>
              </w:numPr>
              <w:rPr>
                <w:sz w:val="20"/>
                <w:szCs w:val="20"/>
              </w:rPr>
            </w:pPr>
            <w:r w:rsidRPr="00486067">
              <w:rPr>
                <w:sz w:val="20"/>
                <w:szCs w:val="20"/>
              </w:rPr>
              <w:t>There is currently 2</w:t>
            </w:r>
            <w:r w:rsidR="00C15950">
              <w:rPr>
                <w:sz w:val="20"/>
                <w:szCs w:val="20"/>
              </w:rPr>
              <w:t xml:space="preserve"> </w:t>
            </w:r>
            <w:r w:rsidRPr="00486067">
              <w:rPr>
                <w:sz w:val="20"/>
                <w:szCs w:val="20"/>
              </w:rPr>
              <w:t>FTE in position for TrendCare implementation, monitoring, educa</w:t>
            </w:r>
            <w:r w:rsidR="009915C2" w:rsidRPr="00486067">
              <w:rPr>
                <w:sz w:val="20"/>
                <w:szCs w:val="20"/>
              </w:rPr>
              <w:t>tion and maintenance.</w:t>
            </w:r>
            <w:r w:rsidR="00DA7081">
              <w:rPr>
                <w:sz w:val="20"/>
                <w:szCs w:val="20"/>
              </w:rPr>
              <w:t xml:space="preserve">  This consists of 1 FTE for general wards (30 wards) and 1 FTE for MHAIDS (11 units).</w:t>
            </w:r>
          </w:p>
          <w:p w:rsidR="009F642F" w:rsidRPr="00503A3A" w:rsidRDefault="00DA7081" w:rsidP="009915C2">
            <w:pPr>
              <w:pStyle w:val="ListParagraph"/>
              <w:numPr>
                <w:ilvl w:val="0"/>
                <w:numId w:val="21"/>
              </w:numPr>
              <w:rPr>
                <w:sz w:val="20"/>
                <w:szCs w:val="20"/>
              </w:rPr>
            </w:pPr>
            <w:r>
              <w:rPr>
                <w:sz w:val="20"/>
                <w:szCs w:val="20"/>
              </w:rPr>
              <w:t>The TrendCare work required has been distributed through the CCDM team to enable some equity.  Further resource requirement has been raised through the CCDM Council with necessary expansion plans to implement in further areas halted at present due to resource issues.</w:t>
            </w:r>
          </w:p>
          <w:p w:rsidR="009F642F" w:rsidRDefault="00503A3A" w:rsidP="00DA7081">
            <w:pPr>
              <w:pStyle w:val="ListParagraph"/>
              <w:numPr>
                <w:ilvl w:val="0"/>
                <w:numId w:val="21"/>
              </w:numPr>
              <w:rPr>
                <w:sz w:val="20"/>
                <w:szCs w:val="20"/>
              </w:rPr>
            </w:pPr>
            <w:r>
              <w:rPr>
                <w:sz w:val="20"/>
                <w:szCs w:val="20"/>
              </w:rPr>
              <w:t xml:space="preserve">The CCDM support coordinator role for FTE calculation support </w:t>
            </w:r>
            <w:r w:rsidR="00DA7081">
              <w:rPr>
                <w:sz w:val="20"/>
                <w:szCs w:val="20"/>
              </w:rPr>
              <w:t>has</w:t>
            </w:r>
            <w:r>
              <w:rPr>
                <w:sz w:val="20"/>
                <w:szCs w:val="20"/>
              </w:rPr>
              <w:t xml:space="preserve"> become a 0.5 CCDM and 0.5 TrendCare coordinator role.</w:t>
            </w:r>
            <w:r w:rsidR="009F642F">
              <w:rPr>
                <w:sz w:val="20"/>
                <w:szCs w:val="20"/>
              </w:rPr>
              <w:t xml:space="preserve"> </w:t>
            </w:r>
          </w:p>
          <w:p w:rsidR="00DA7081" w:rsidRPr="00486067" w:rsidRDefault="00DA7081" w:rsidP="00DA7081">
            <w:pPr>
              <w:pStyle w:val="ListParagraph"/>
              <w:numPr>
                <w:ilvl w:val="0"/>
                <w:numId w:val="21"/>
              </w:numPr>
              <w:rPr>
                <w:sz w:val="20"/>
                <w:szCs w:val="20"/>
              </w:rPr>
            </w:pPr>
            <w:r>
              <w:rPr>
                <w:sz w:val="20"/>
                <w:szCs w:val="20"/>
              </w:rPr>
              <w:t>An extension of a parental leave cover contract for 6 weeks to the end of June</w:t>
            </w:r>
            <w:r w:rsidR="00553B7A">
              <w:rPr>
                <w:sz w:val="20"/>
                <w:szCs w:val="20"/>
              </w:rPr>
              <w:t xml:space="preserve"> 2020</w:t>
            </w:r>
            <w:r>
              <w:rPr>
                <w:sz w:val="20"/>
                <w:szCs w:val="20"/>
              </w:rPr>
              <w:t xml:space="preserve"> is in place.</w:t>
            </w:r>
          </w:p>
        </w:tc>
      </w:tr>
      <w:tr w:rsidR="00933007" w:rsidTr="00352EC3">
        <w:trPr>
          <w:trHeight w:val="789"/>
        </w:trPr>
        <w:tc>
          <w:tcPr>
            <w:tcW w:w="1817" w:type="pct"/>
            <w:shd w:val="clear" w:color="auto" w:fill="E6E4CC"/>
          </w:tcPr>
          <w:p w:rsidR="00933007" w:rsidRPr="00041F9D" w:rsidRDefault="00933007" w:rsidP="00933007">
            <w:pPr>
              <w:pStyle w:val="NoSpacing"/>
              <w:numPr>
                <w:ilvl w:val="0"/>
                <w:numId w:val="10"/>
              </w:numPr>
              <w:spacing w:line="276" w:lineRule="auto"/>
              <w:jc w:val="left"/>
            </w:pPr>
            <w:r>
              <w:t>The patient acuity system is supported and prioritised as a critical ‘service delivery’ IT system</w:t>
            </w:r>
            <w:r w:rsidRPr="00041F9D">
              <w:t>.</w:t>
            </w:r>
          </w:p>
        </w:tc>
        <w:tc>
          <w:tcPr>
            <w:tcW w:w="3183" w:type="pct"/>
            <w:shd w:val="clear" w:color="auto" w:fill="auto"/>
          </w:tcPr>
          <w:p w:rsidR="00933007" w:rsidRPr="00503A3A" w:rsidRDefault="00503A3A" w:rsidP="00D775D2">
            <w:pPr>
              <w:pStyle w:val="ListParagraph"/>
              <w:numPr>
                <w:ilvl w:val="0"/>
                <w:numId w:val="21"/>
              </w:numPr>
              <w:rPr>
                <w:i/>
                <w:sz w:val="20"/>
                <w:szCs w:val="20"/>
              </w:rPr>
            </w:pPr>
            <w:r>
              <w:rPr>
                <w:sz w:val="20"/>
                <w:szCs w:val="20"/>
              </w:rPr>
              <w:t>The system has a dedicated resource within I</w:t>
            </w:r>
            <w:r w:rsidR="00DA7081">
              <w:rPr>
                <w:sz w:val="20"/>
                <w:szCs w:val="20"/>
              </w:rPr>
              <w:t>C</w:t>
            </w:r>
            <w:r>
              <w:rPr>
                <w:sz w:val="20"/>
                <w:szCs w:val="20"/>
              </w:rPr>
              <w:t>T which increases as upgrades are scheduled into the work programme.  This resource has other systems within the DHB to support also.</w:t>
            </w:r>
          </w:p>
          <w:p w:rsidR="00503A3A" w:rsidRPr="00D775D2" w:rsidRDefault="00DA7081" w:rsidP="00D775D2">
            <w:pPr>
              <w:pStyle w:val="ListParagraph"/>
              <w:numPr>
                <w:ilvl w:val="0"/>
                <w:numId w:val="21"/>
              </w:numPr>
              <w:rPr>
                <w:i/>
                <w:sz w:val="20"/>
                <w:szCs w:val="20"/>
              </w:rPr>
            </w:pPr>
            <w:r>
              <w:rPr>
                <w:sz w:val="20"/>
                <w:szCs w:val="20"/>
              </w:rPr>
              <w:t>TrendCare has recently been upgraded to Category 1 requirement</w:t>
            </w:r>
            <w:r w:rsidR="00553B7A">
              <w:rPr>
                <w:sz w:val="20"/>
                <w:szCs w:val="20"/>
              </w:rPr>
              <w:t>, meaning if there is an issue it has to be rectified within 4 hours</w:t>
            </w:r>
            <w:r>
              <w:rPr>
                <w:sz w:val="20"/>
                <w:szCs w:val="20"/>
              </w:rPr>
              <w:t>.  With the inclusion of TrendCare acuity in the new Capacity at</w:t>
            </w:r>
            <w:r w:rsidR="00553B7A">
              <w:rPr>
                <w:sz w:val="20"/>
                <w:szCs w:val="20"/>
              </w:rPr>
              <w:t xml:space="preserve"> a Glance (CaaG0 screen this was required and ensures increased support for TrendCare from ICT.</w:t>
            </w:r>
          </w:p>
        </w:tc>
      </w:tr>
      <w:tr w:rsidR="00933007" w:rsidTr="007F1935">
        <w:trPr>
          <w:trHeight w:val="755"/>
        </w:trPr>
        <w:tc>
          <w:tcPr>
            <w:tcW w:w="1817" w:type="pct"/>
            <w:shd w:val="clear" w:color="auto" w:fill="E6E4CC"/>
          </w:tcPr>
          <w:p w:rsidR="00933007" w:rsidRPr="00041F9D" w:rsidRDefault="00933007" w:rsidP="00933007">
            <w:pPr>
              <w:pStyle w:val="NoSpacing"/>
              <w:numPr>
                <w:ilvl w:val="0"/>
                <w:numId w:val="10"/>
              </w:numPr>
              <w:spacing w:line="276" w:lineRule="auto"/>
              <w:jc w:val="left"/>
            </w:pPr>
            <w:r>
              <w:t>There are processes in place to ensure the validated patient acuity system is used accurately and consistently.</w:t>
            </w:r>
          </w:p>
        </w:tc>
        <w:tc>
          <w:tcPr>
            <w:tcW w:w="3183" w:type="pct"/>
            <w:shd w:val="clear" w:color="auto" w:fill="auto"/>
          </w:tcPr>
          <w:p w:rsidR="00553B7A" w:rsidRDefault="00503A3A" w:rsidP="00503A3A">
            <w:pPr>
              <w:pStyle w:val="ListParagraph"/>
              <w:numPr>
                <w:ilvl w:val="0"/>
                <w:numId w:val="30"/>
              </w:numPr>
              <w:rPr>
                <w:sz w:val="20"/>
                <w:szCs w:val="20"/>
              </w:rPr>
            </w:pPr>
            <w:r>
              <w:rPr>
                <w:sz w:val="20"/>
                <w:szCs w:val="20"/>
              </w:rPr>
              <w:t>TrendCare accuracy and quality checks are undertaken monthly in line with the CCDM FTE calculation quality checks.  Opportunities for improvement are followed up with the charge nurse and midwife managers</w:t>
            </w:r>
            <w:r w:rsidR="000F632F">
              <w:rPr>
                <w:sz w:val="20"/>
                <w:szCs w:val="20"/>
              </w:rPr>
              <w:t xml:space="preserve"> and team leaders</w:t>
            </w:r>
            <w:r>
              <w:rPr>
                <w:sz w:val="20"/>
                <w:szCs w:val="20"/>
              </w:rPr>
              <w:t xml:space="preserve"> at fortnightly meetings with the TrendCare coordinators.</w:t>
            </w:r>
          </w:p>
          <w:p w:rsidR="00553B7A" w:rsidRDefault="00553B7A" w:rsidP="00503A3A">
            <w:pPr>
              <w:pStyle w:val="ListParagraph"/>
              <w:numPr>
                <w:ilvl w:val="0"/>
                <w:numId w:val="30"/>
              </w:numPr>
              <w:rPr>
                <w:sz w:val="20"/>
                <w:szCs w:val="20"/>
              </w:rPr>
            </w:pPr>
            <w:r>
              <w:rPr>
                <w:sz w:val="20"/>
                <w:szCs w:val="20"/>
              </w:rPr>
              <w:t>Focused improvement plans are implemented for areas as required.</w:t>
            </w:r>
          </w:p>
          <w:p w:rsidR="00933007" w:rsidRDefault="00553B7A" w:rsidP="00503A3A">
            <w:pPr>
              <w:pStyle w:val="ListParagraph"/>
              <w:numPr>
                <w:ilvl w:val="0"/>
                <w:numId w:val="30"/>
              </w:numPr>
              <w:rPr>
                <w:sz w:val="20"/>
                <w:szCs w:val="20"/>
              </w:rPr>
            </w:pPr>
            <w:r>
              <w:rPr>
                <w:sz w:val="20"/>
                <w:szCs w:val="20"/>
              </w:rPr>
              <w:t xml:space="preserve">Weekly TrendCare statistics are shared with all wards and at the “Week that </w:t>
            </w:r>
            <w:proofErr w:type="gramStart"/>
            <w:r>
              <w:rPr>
                <w:sz w:val="20"/>
                <w:szCs w:val="20"/>
              </w:rPr>
              <w:t>Was</w:t>
            </w:r>
            <w:proofErr w:type="gramEnd"/>
            <w:r>
              <w:rPr>
                <w:sz w:val="20"/>
                <w:szCs w:val="20"/>
              </w:rPr>
              <w:t>” meetings which have been implemented (see VRM standard).</w:t>
            </w:r>
            <w:r w:rsidR="00503A3A">
              <w:rPr>
                <w:sz w:val="20"/>
                <w:szCs w:val="20"/>
              </w:rPr>
              <w:t xml:space="preserve"> </w:t>
            </w:r>
          </w:p>
          <w:p w:rsidR="00503A3A" w:rsidRDefault="00503A3A" w:rsidP="00503A3A">
            <w:pPr>
              <w:pStyle w:val="ListParagraph"/>
              <w:numPr>
                <w:ilvl w:val="0"/>
                <w:numId w:val="30"/>
              </w:numPr>
              <w:rPr>
                <w:sz w:val="20"/>
                <w:szCs w:val="20"/>
              </w:rPr>
            </w:pPr>
            <w:r>
              <w:rPr>
                <w:sz w:val="20"/>
                <w:szCs w:val="20"/>
              </w:rPr>
              <w:t>IRR testing is undertaken annually</w:t>
            </w:r>
            <w:r w:rsidR="00553B7A">
              <w:rPr>
                <w:sz w:val="20"/>
                <w:szCs w:val="20"/>
              </w:rPr>
              <w:t xml:space="preserve"> and within two weeks of new staff using TrendCare to ensure that IRR testing is as close to 100% consistently.</w:t>
            </w:r>
          </w:p>
          <w:p w:rsidR="006565EF" w:rsidRPr="007A0AD7" w:rsidRDefault="006565EF" w:rsidP="00503A3A">
            <w:pPr>
              <w:pStyle w:val="ListParagraph"/>
              <w:numPr>
                <w:ilvl w:val="0"/>
                <w:numId w:val="30"/>
              </w:numPr>
              <w:rPr>
                <w:sz w:val="20"/>
                <w:szCs w:val="20"/>
              </w:rPr>
            </w:pPr>
            <w:r>
              <w:rPr>
                <w:sz w:val="20"/>
                <w:szCs w:val="20"/>
              </w:rPr>
              <w:lastRenderedPageBreak/>
              <w:t>Monthly reports and accuracy/quality checks for each ward are shared with the charge nurse/midwife managers</w:t>
            </w:r>
            <w:r w:rsidR="000F632F">
              <w:rPr>
                <w:sz w:val="20"/>
                <w:szCs w:val="20"/>
              </w:rPr>
              <w:t>/team leaders</w:t>
            </w:r>
            <w:r>
              <w:rPr>
                <w:sz w:val="20"/>
                <w:szCs w:val="20"/>
              </w:rPr>
              <w:t>, operations managers and nursing/midwifery leaders to show areas of success and improvement requirements.</w:t>
            </w:r>
          </w:p>
        </w:tc>
      </w:tr>
      <w:tr w:rsidR="00933007" w:rsidTr="007F1935">
        <w:trPr>
          <w:trHeight w:val="682"/>
        </w:trPr>
        <w:tc>
          <w:tcPr>
            <w:tcW w:w="1817" w:type="pct"/>
            <w:shd w:val="clear" w:color="auto" w:fill="E6E4CC"/>
          </w:tcPr>
          <w:p w:rsidR="00933007" w:rsidRPr="00041F9D" w:rsidRDefault="00933007" w:rsidP="00933007">
            <w:pPr>
              <w:pStyle w:val="NoSpacing"/>
              <w:numPr>
                <w:ilvl w:val="0"/>
                <w:numId w:val="10"/>
              </w:numPr>
              <w:spacing w:line="276" w:lineRule="auto"/>
              <w:jc w:val="left"/>
            </w:pPr>
            <w:r w:rsidRPr="00041F9D">
              <w:lastRenderedPageBreak/>
              <w:t>Business Rules are clearly defined and in use</w:t>
            </w:r>
            <w:r>
              <w:t xml:space="preserve"> to ensure consistent use of the system</w:t>
            </w:r>
            <w:r w:rsidRPr="00041F9D">
              <w:t>.</w:t>
            </w:r>
          </w:p>
        </w:tc>
        <w:tc>
          <w:tcPr>
            <w:tcW w:w="3183" w:type="pct"/>
            <w:shd w:val="clear" w:color="auto" w:fill="auto"/>
          </w:tcPr>
          <w:p w:rsidR="00933007" w:rsidRPr="00486067" w:rsidRDefault="00D775D2" w:rsidP="00D775D2">
            <w:pPr>
              <w:pStyle w:val="ListParagraph"/>
              <w:numPr>
                <w:ilvl w:val="0"/>
                <w:numId w:val="21"/>
              </w:numPr>
              <w:rPr>
                <w:sz w:val="20"/>
                <w:szCs w:val="20"/>
              </w:rPr>
            </w:pPr>
            <w:r w:rsidRPr="00486067">
              <w:rPr>
                <w:sz w:val="20"/>
                <w:szCs w:val="20"/>
              </w:rPr>
              <w:t xml:space="preserve">There are clearly defined TrendCare business rules in place that are reviewed </w:t>
            </w:r>
            <w:r w:rsidR="00553B7A">
              <w:rPr>
                <w:sz w:val="20"/>
                <w:szCs w:val="20"/>
              </w:rPr>
              <w:t>annually</w:t>
            </w:r>
            <w:r w:rsidRPr="00486067">
              <w:rPr>
                <w:sz w:val="20"/>
                <w:szCs w:val="20"/>
              </w:rPr>
              <w:t xml:space="preserve"> by the TrendCare </w:t>
            </w:r>
            <w:r w:rsidR="007A0AD7">
              <w:rPr>
                <w:sz w:val="20"/>
                <w:szCs w:val="20"/>
              </w:rPr>
              <w:t>operational</w:t>
            </w:r>
            <w:r w:rsidRPr="00486067">
              <w:rPr>
                <w:sz w:val="20"/>
                <w:szCs w:val="20"/>
              </w:rPr>
              <w:t xml:space="preserve"> group. These rules are monitored for compliance.</w:t>
            </w:r>
            <w:r w:rsidR="00553B7A">
              <w:rPr>
                <w:sz w:val="20"/>
                <w:szCs w:val="20"/>
              </w:rPr>
              <w:t xml:space="preserve">  All staff have access to the TrendCare Business Rules through CapDocs.  These are referred to constantly to ensure consistent use of the programme.</w:t>
            </w:r>
          </w:p>
          <w:p w:rsidR="00D775D2" w:rsidRDefault="00553B7A" w:rsidP="00D775D2">
            <w:pPr>
              <w:pStyle w:val="ListParagraph"/>
              <w:numPr>
                <w:ilvl w:val="0"/>
                <w:numId w:val="21"/>
              </w:numPr>
              <w:rPr>
                <w:sz w:val="20"/>
                <w:szCs w:val="20"/>
              </w:rPr>
            </w:pPr>
            <w:r>
              <w:rPr>
                <w:sz w:val="20"/>
                <w:szCs w:val="20"/>
              </w:rPr>
              <w:t>Significant improvement in Trendcare use over the last year is evident.  CCDHB was able to proceed with 5 FTE calculations at the end of 2018, this has now increased to 18 wards as of May 2020.</w:t>
            </w:r>
          </w:p>
          <w:p w:rsidR="00553B7A" w:rsidRDefault="00553B7A" w:rsidP="00D775D2">
            <w:pPr>
              <w:pStyle w:val="ListParagraph"/>
              <w:numPr>
                <w:ilvl w:val="0"/>
                <w:numId w:val="21"/>
              </w:numPr>
              <w:rPr>
                <w:sz w:val="20"/>
                <w:szCs w:val="20"/>
              </w:rPr>
            </w:pPr>
            <w:r>
              <w:rPr>
                <w:sz w:val="20"/>
                <w:szCs w:val="20"/>
              </w:rPr>
              <w:t>TrendCare is able to be used to assess redeployment opportunities along with the context of the ward due to increasing accuracy.</w:t>
            </w:r>
          </w:p>
          <w:p w:rsidR="00553B7A" w:rsidRDefault="00553B7A" w:rsidP="00D775D2">
            <w:pPr>
              <w:pStyle w:val="ListParagraph"/>
              <w:numPr>
                <w:ilvl w:val="0"/>
                <w:numId w:val="21"/>
              </w:numPr>
              <w:rPr>
                <w:sz w:val="20"/>
                <w:szCs w:val="20"/>
              </w:rPr>
            </w:pPr>
            <w:r>
              <w:rPr>
                <w:sz w:val="20"/>
                <w:szCs w:val="20"/>
              </w:rPr>
              <w:t>Gains have been made in Maternity in particular.</w:t>
            </w:r>
          </w:p>
          <w:p w:rsidR="00553B7A" w:rsidRPr="00553B7A" w:rsidRDefault="00553B7A" w:rsidP="00553B7A">
            <w:pPr>
              <w:pStyle w:val="ListParagraph"/>
              <w:numPr>
                <w:ilvl w:val="0"/>
                <w:numId w:val="21"/>
              </w:numPr>
              <w:rPr>
                <w:sz w:val="20"/>
                <w:szCs w:val="20"/>
              </w:rPr>
            </w:pPr>
            <w:r>
              <w:rPr>
                <w:sz w:val="20"/>
                <w:szCs w:val="20"/>
              </w:rPr>
              <w:t>MHAIDS implementation has been seamless with excellent uptake and consistent use.</w:t>
            </w:r>
          </w:p>
        </w:tc>
      </w:tr>
      <w:tr w:rsidR="00933007" w:rsidTr="007F1935">
        <w:trPr>
          <w:trHeight w:val="848"/>
        </w:trPr>
        <w:tc>
          <w:tcPr>
            <w:tcW w:w="1817" w:type="pct"/>
            <w:shd w:val="clear" w:color="auto" w:fill="E6E4CC"/>
          </w:tcPr>
          <w:p w:rsidR="00933007" w:rsidRPr="00041F9D" w:rsidRDefault="00933007" w:rsidP="00933007">
            <w:pPr>
              <w:pStyle w:val="NoSpacing"/>
              <w:numPr>
                <w:ilvl w:val="1"/>
                <w:numId w:val="11"/>
              </w:numPr>
              <w:spacing w:line="276" w:lineRule="auto"/>
              <w:ind w:left="426" w:hanging="426"/>
              <w:jc w:val="left"/>
            </w:pPr>
            <w:r w:rsidRPr="00041F9D">
              <w:t xml:space="preserve">Validated </w:t>
            </w:r>
            <w:r>
              <w:t>patient acuity</w:t>
            </w:r>
            <w:r w:rsidRPr="00041F9D">
              <w:t xml:space="preserve"> data is utilised in daily operational and annual planning activities.</w:t>
            </w:r>
          </w:p>
        </w:tc>
        <w:tc>
          <w:tcPr>
            <w:tcW w:w="3183" w:type="pct"/>
            <w:shd w:val="clear" w:color="auto" w:fill="auto"/>
          </w:tcPr>
          <w:p w:rsidR="00933007" w:rsidRDefault="00553B7A" w:rsidP="00D775D2">
            <w:pPr>
              <w:pStyle w:val="ListParagraph"/>
              <w:numPr>
                <w:ilvl w:val="0"/>
                <w:numId w:val="22"/>
              </w:numPr>
              <w:rPr>
                <w:sz w:val="20"/>
                <w:szCs w:val="20"/>
              </w:rPr>
            </w:pPr>
            <w:r>
              <w:rPr>
                <w:sz w:val="20"/>
                <w:szCs w:val="20"/>
              </w:rPr>
              <w:t>TrendCare is used in daily operation meeting</w:t>
            </w:r>
            <w:r w:rsidR="009E26DF">
              <w:rPr>
                <w:sz w:val="20"/>
                <w:szCs w:val="20"/>
              </w:rPr>
              <w:t>s throughout the 24 hour period</w:t>
            </w:r>
            <w:r>
              <w:rPr>
                <w:sz w:val="20"/>
                <w:szCs w:val="20"/>
              </w:rPr>
              <w:t>.  Automated reports come through to the IOC and the Duty Nurse Managers</w:t>
            </w:r>
            <w:r w:rsidR="009E26DF">
              <w:rPr>
                <w:sz w:val="20"/>
                <w:szCs w:val="20"/>
              </w:rPr>
              <w:t xml:space="preserve"> (DNMs)</w:t>
            </w:r>
            <w:r>
              <w:rPr>
                <w:sz w:val="20"/>
                <w:szCs w:val="20"/>
              </w:rPr>
              <w:t xml:space="preserve"> containing – TrendCare acuity/variance for the current and next 3 shifts, expected discharges and admissions, utilisation and occupancy, shift notes and bureau requests, all by ward.  This is currently for all general wards but will progress to MHAIDS shortly.</w:t>
            </w:r>
          </w:p>
          <w:p w:rsidR="00553B7A" w:rsidRDefault="00232731" w:rsidP="00D775D2">
            <w:pPr>
              <w:pStyle w:val="ListParagraph"/>
              <w:numPr>
                <w:ilvl w:val="0"/>
                <w:numId w:val="22"/>
              </w:numPr>
              <w:rPr>
                <w:sz w:val="20"/>
                <w:szCs w:val="20"/>
              </w:rPr>
            </w:pPr>
            <w:r>
              <w:rPr>
                <w:sz w:val="20"/>
                <w:szCs w:val="20"/>
              </w:rPr>
              <w:t>TrendCare acuity will also be present in the CaaG screen and will show</w:t>
            </w:r>
          </w:p>
          <w:p w:rsidR="00232731" w:rsidRDefault="00232731" w:rsidP="00232731">
            <w:pPr>
              <w:pStyle w:val="ListParagraph"/>
              <w:numPr>
                <w:ilvl w:val="2"/>
                <w:numId w:val="22"/>
              </w:numPr>
              <w:rPr>
                <w:sz w:val="20"/>
                <w:szCs w:val="20"/>
              </w:rPr>
            </w:pPr>
            <w:r>
              <w:rPr>
                <w:sz w:val="20"/>
                <w:szCs w:val="20"/>
              </w:rPr>
              <w:t xml:space="preserve">Green - 0hrs to positive variance </w:t>
            </w:r>
          </w:p>
          <w:p w:rsidR="00232731" w:rsidRDefault="00232731" w:rsidP="00232731">
            <w:pPr>
              <w:pStyle w:val="ListParagraph"/>
              <w:numPr>
                <w:ilvl w:val="2"/>
                <w:numId w:val="22"/>
              </w:numPr>
              <w:rPr>
                <w:sz w:val="20"/>
                <w:szCs w:val="20"/>
              </w:rPr>
            </w:pPr>
            <w:r>
              <w:rPr>
                <w:sz w:val="20"/>
                <w:szCs w:val="20"/>
              </w:rPr>
              <w:t>Orange – minus 1 to the equivalent hours of minus 8.49%</w:t>
            </w:r>
          </w:p>
          <w:p w:rsidR="00D775D2" w:rsidRPr="00232731" w:rsidRDefault="00232731" w:rsidP="00232731">
            <w:pPr>
              <w:pStyle w:val="ListParagraph"/>
              <w:numPr>
                <w:ilvl w:val="2"/>
                <w:numId w:val="22"/>
              </w:numPr>
              <w:rPr>
                <w:sz w:val="20"/>
                <w:szCs w:val="20"/>
              </w:rPr>
            </w:pPr>
            <w:r>
              <w:rPr>
                <w:sz w:val="20"/>
                <w:szCs w:val="20"/>
              </w:rPr>
              <w:t>Red – equivalent hours of minus  8.5% and more (shift below target)</w:t>
            </w:r>
          </w:p>
        </w:tc>
      </w:tr>
    </w:tbl>
    <w:p w:rsidR="007F1935" w:rsidRDefault="007F1935" w:rsidP="00933007"/>
    <w:p w:rsidR="007F1935" w:rsidRDefault="007F1935" w:rsidP="00933007"/>
    <w:p w:rsidR="007F1935" w:rsidRDefault="007F1935" w:rsidP="00933007"/>
    <w:tbl>
      <w:tblPr>
        <w:tblStyle w:val="TableGrid"/>
        <w:tblW w:w="0" w:type="auto"/>
        <w:tblLook w:val="04A0" w:firstRow="1" w:lastRow="0" w:firstColumn="1" w:lastColumn="0" w:noHBand="0" w:noVBand="1"/>
      </w:tblPr>
      <w:tblGrid>
        <w:gridCol w:w="3510"/>
        <w:gridCol w:w="4111"/>
        <w:gridCol w:w="3260"/>
        <w:gridCol w:w="3402"/>
      </w:tblGrid>
      <w:tr w:rsidR="00933007" w:rsidTr="00352EC3">
        <w:tc>
          <w:tcPr>
            <w:tcW w:w="14283" w:type="dxa"/>
            <w:gridSpan w:val="4"/>
            <w:shd w:val="clear" w:color="auto" w:fill="BFB97F"/>
          </w:tcPr>
          <w:p w:rsidR="00933007" w:rsidRPr="002112FE" w:rsidRDefault="00933007" w:rsidP="000E0334">
            <w:pPr>
              <w:pStyle w:val="NoSpacing"/>
              <w:spacing w:before="60" w:after="60"/>
              <w:rPr>
                <w:b/>
              </w:rPr>
            </w:pPr>
            <w:r w:rsidRPr="002112FE">
              <w:rPr>
                <w:b/>
              </w:rPr>
              <w:t xml:space="preserve">Standard overall attainment </w:t>
            </w:r>
          </w:p>
        </w:tc>
      </w:tr>
      <w:tr w:rsidR="00933007" w:rsidTr="000E0334">
        <w:tc>
          <w:tcPr>
            <w:tcW w:w="3510" w:type="dxa"/>
            <w:shd w:val="clear" w:color="auto" w:fill="auto"/>
          </w:tcPr>
          <w:p w:rsidR="00933007" w:rsidRDefault="002749DA" w:rsidP="000E0334">
            <w:pPr>
              <w:pStyle w:val="NoSpacing"/>
              <w:spacing w:before="60" w:after="60"/>
            </w:pPr>
            <w:sdt>
              <w:sdtPr>
                <w:id w:val="-1773465076"/>
                <w14:checkbox>
                  <w14:checked w14:val="0"/>
                  <w14:checkedState w14:val="2612" w14:font="MS Gothic"/>
                  <w14:uncheckedState w14:val="2610" w14:font="MS Gothic"/>
                </w14:checkbox>
              </w:sdtPr>
              <w:sdtEndPr/>
              <w:sdtContent>
                <w:r w:rsidR="00232731">
                  <w:rPr>
                    <w:rFonts w:ascii="MS Gothic" w:eastAsia="MS Gothic" w:hAnsi="MS Gothic" w:hint="eastAsia"/>
                  </w:rPr>
                  <w:t>☐</w:t>
                </w:r>
              </w:sdtContent>
            </w:sdt>
            <w:r w:rsidR="00933007">
              <w:t xml:space="preserve"> NA – Not attained</w:t>
            </w:r>
          </w:p>
        </w:tc>
        <w:tc>
          <w:tcPr>
            <w:tcW w:w="4111" w:type="dxa"/>
            <w:shd w:val="clear" w:color="auto" w:fill="auto"/>
          </w:tcPr>
          <w:p w:rsidR="00933007" w:rsidRDefault="002749DA" w:rsidP="000E0334">
            <w:pPr>
              <w:pStyle w:val="NoSpacing"/>
              <w:spacing w:before="60" w:after="60"/>
            </w:pPr>
            <w:sdt>
              <w:sdtPr>
                <w:id w:val="-1561391785"/>
                <w14:checkbox>
                  <w14:checked w14:val="0"/>
                  <w14:checkedState w14:val="2612" w14:font="MS Gothic"/>
                  <w14:uncheckedState w14:val="2610" w14:font="MS Gothic"/>
                </w14:checkbox>
              </w:sdtPr>
              <w:sdtEndPr/>
              <w:sdtContent>
                <w:r w:rsidR="00232731">
                  <w:rPr>
                    <w:rFonts w:ascii="MS Gothic" w:eastAsia="MS Gothic" w:hAnsi="MS Gothic" w:hint="eastAsia"/>
                  </w:rPr>
                  <w:t>☐</w:t>
                </w:r>
              </w:sdtContent>
            </w:sdt>
            <w:r w:rsidR="00933007">
              <w:t xml:space="preserve"> PA – Partially attained </w:t>
            </w:r>
          </w:p>
        </w:tc>
        <w:tc>
          <w:tcPr>
            <w:tcW w:w="3260" w:type="dxa"/>
            <w:shd w:val="clear" w:color="auto" w:fill="auto"/>
          </w:tcPr>
          <w:p w:rsidR="00933007" w:rsidRDefault="002749DA" w:rsidP="000E0334">
            <w:pPr>
              <w:pStyle w:val="NoSpacing"/>
              <w:spacing w:before="60" w:after="60"/>
            </w:pPr>
            <w:sdt>
              <w:sdtPr>
                <w:id w:val="-73202866"/>
                <w14:checkbox>
                  <w14:checked w14:val="1"/>
                  <w14:checkedState w14:val="2612" w14:font="MS Gothic"/>
                  <w14:uncheckedState w14:val="2610" w14:font="MS Gothic"/>
                </w14:checkbox>
              </w:sdtPr>
              <w:sdtEndPr/>
              <w:sdtContent>
                <w:r w:rsidR="00232731">
                  <w:rPr>
                    <w:rFonts w:ascii="MS Gothic" w:eastAsia="MS Gothic" w:hAnsi="MS Gothic" w:hint="eastAsia"/>
                  </w:rPr>
                  <w:t>☒</w:t>
                </w:r>
              </w:sdtContent>
            </w:sdt>
            <w:r w:rsidR="00933007">
              <w:t xml:space="preserve"> FA – Fully attained</w:t>
            </w:r>
          </w:p>
        </w:tc>
        <w:tc>
          <w:tcPr>
            <w:tcW w:w="3402" w:type="dxa"/>
            <w:shd w:val="clear" w:color="auto" w:fill="auto"/>
          </w:tcPr>
          <w:p w:rsidR="00933007" w:rsidRDefault="002749DA" w:rsidP="000E0334">
            <w:pPr>
              <w:pStyle w:val="NoSpacing"/>
              <w:spacing w:before="60" w:after="60"/>
            </w:pPr>
            <w:sdt>
              <w:sdtPr>
                <w:id w:val="295032919"/>
                <w14:checkbox>
                  <w14:checked w14:val="0"/>
                  <w14:checkedState w14:val="2612" w14:font="MS Gothic"/>
                  <w14:uncheckedState w14:val="2610" w14:font="MS Gothic"/>
                </w14:checkbox>
              </w:sdtPr>
              <w:sdtEndPr/>
              <w:sdtContent>
                <w:r w:rsidR="00933007">
                  <w:rPr>
                    <w:rFonts w:ascii="MS Gothic" w:eastAsia="MS Gothic" w:hAnsi="MS Gothic" w:hint="eastAsia"/>
                  </w:rPr>
                  <w:t>☐</w:t>
                </w:r>
              </w:sdtContent>
            </w:sdt>
            <w:r w:rsidR="008F1BD0">
              <w:t xml:space="preserve"> CI – Continuous i</w:t>
            </w:r>
            <w:r w:rsidR="00933007">
              <w:t xml:space="preserve">mprovement </w:t>
            </w:r>
          </w:p>
        </w:tc>
      </w:tr>
    </w:tbl>
    <w:p w:rsidR="00933007" w:rsidRDefault="00933007" w:rsidP="00933007">
      <w:pPr>
        <w:rPr>
          <w:b/>
          <w:sz w:val="28"/>
          <w:szCs w:val="28"/>
        </w:rPr>
      </w:pPr>
    </w:p>
    <w:tbl>
      <w:tblPr>
        <w:tblStyle w:val="TableGrid"/>
        <w:tblW w:w="0" w:type="auto"/>
        <w:tblLook w:val="04A0" w:firstRow="1" w:lastRow="0" w:firstColumn="1" w:lastColumn="0" w:noHBand="0" w:noVBand="1"/>
      </w:tblPr>
      <w:tblGrid>
        <w:gridCol w:w="14338"/>
      </w:tblGrid>
      <w:tr w:rsidR="00933007" w:rsidTr="000E0334">
        <w:tc>
          <w:tcPr>
            <w:tcW w:w="14338" w:type="dxa"/>
            <w:tcBorders>
              <w:left w:val="nil"/>
              <w:bottom w:val="single" w:sz="4" w:space="0" w:color="auto"/>
              <w:right w:val="nil"/>
            </w:tcBorders>
          </w:tcPr>
          <w:p w:rsidR="007A0AD7" w:rsidRDefault="00933007" w:rsidP="00CD3E6B">
            <w:pPr>
              <w:spacing w:before="60" w:after="60"/>
              <w:rPr>
                <w:b/>
                <w:sz w:val="24"/>
              </w:rPr>
            </w:pPr>
            <w:r w:rsidRPr="001B5D54">
              <w:rPr>
                <w:rStyle w:val="Heading3Char"/>
              </w:rPr>
              <w:lastRenderedPageBreak/>
              <w:t xml:space="preserve">Areas of </w:t>
            </w:r>
            <w:r w:rsidR="008F1BD0" w:rsidRPr="001B5D54">
              <w:rPr>
                <w:rStyle w:val="Heading3Char"/>
              </w:rPr>
              <w:t>c</w:t>
            </w:r>
            <w:r w:rsidRPr="001B5D54">
              <w:rPr>
                <w:rStyle w:val="Heading3Char"/>
              </w:rPr>
              <w:t>ommendation:</w:t>
            </w:r>
            <w:r>
              <w:rPr>
                <w:b/>
                <w:sz w:val="24"/>
              </w:rPr>
              <w:t xml:space="preserve"> </w:t>
            </w:r>
          </w:p>
          <w:p w:rsidR="00681A60" w:rsidRDefault="001B5D54" w:rsidP="001B5D54">
            <w:pPr>
              <w:spacing w:before="60" w:after="60"/>
              <w:rPr>
                <w:sz w:val="24"/>
              </w:rPr>
            </w:pPr>
            <w:r>
              <w:rPr>
                <w:sz w:val="24"/>
              </w:rPr>
              <w:t>Ownership and accountability of TrendCare at a ward level is now appropriately placed with the charge nurse and midwife managers and team leaders.</w:t>
            </w:r>
          </w:p>
          <w:p w:rsidR="001B5D54" w:rsidRDefault="001B5D54" w:rsidP="001B5D54">
            <w:pPr>
              <w:spacing w:before="60" w:after="60"/>
              <w:rPr>
                <w:sz w:val="24"/>
              </w:rPr>
            </w:pPr>
            <w:r>
              <w:rPr>
                <w:sz w:val="24"/>
              </w:rPr>
              <w:t>TrendCare is used in collaboration CapPlan, WebPas and the bureau allocation tool in an automated report to the IOC and duty nurse managers eight times a day displaying utilisation, variance, expected admissions and discharges and bureau requests for the current and subsequent three shifts to enable safe and appropriate redeployment.</w:t>
            </w:r>
          </w:p>
          <w:p w:rsidR="001B5D54" w:rsidRDefault="001B5D54" w:rsidP="001B5D54">
            <w:pPr>
              <w:spacing w:before="60" w:after="60"/>
              <w:rPr>
                <w:sz w:val="24"/>
              </w:rPr>
            </w:pPr>
            <w:r>
              <w:rPr>
                <w:sz w:val="24"/>
              </w:rPr>
              <w:t>Improvements in TrendCare compliance and accuracy are evidenced by the ability to undertake six FTE calculations in early 2019 and 16 in May 2020, including MHAIDS and maternity services.</w:t>
            </w:r>
          </w:p>
          <w:p w:rsidR="001B5D54" w:rsidRDefault="001B5D54" w:rsidP="001B5D54">
            <w:pPr>
              <w:spacing w:before="60" w:after="60"/>
              <w:rPr>
                <w:sz w:val="24"/>
              </w:rPr>
            </w:pPr>
            <w:r>
              <w:rPr>
                <w:sz w:val="24"/>
              </w:rPr>
              <w:t>TrendCare has been successfully implemented into all MHAIDS units, including ID and forensic services.</w:t>
            </w:r>
          </w:p>
          <w:p w:rsidR="001B5D54" w:rsidRPr="007A0AD7" w:rsidRDefault="001B5D54" w:rsidP="001B5D54">
            <w:pPr>
              <w:spacing w:before="60" w:after="60"/>
              <w:rPr>
                <w:sz w:val="24"/>
              </w:rPr>
            </w:pPr>
            <w:r>
              <w:rPr>
                <w:sz w:val="24"/>
              </w:rPr>
              <w:t>Formalised education and resources for all TrendCare using staff.</w:t>
            </w:r>
          </w:p>
        </w:tc>
      </w:tr>
      <w:tr w:rsidR="00933007" w:rsidTr="000E0334">
        <w:tc>
          <w:tcPr>
            <w:tcW w:w="14338" w:type="dxa"/>
            <w:tcBorders>
              <w:left w:val="nil"/>
              <w:right w:val="nil"/>
            </w:tcBorders>
          </w:tcPr>
          <w:p w:rsidR="007A0AD7" w:rsidRPr="00C35ADC" w:rsidRDefault="00933007" w:rsidP="00CD3E6B">
            <w:pPr>
              <w:spacing w:before="60" w:after="60"/>
              <w:rPr>
                <w:rStyle w:val="Heading3Char"/>
                <w:highlight w:val="yellow"/>
              </w:rPr>
            </w:pPr>
            <w:r w:rsidRPr="001B5D54">
              <w:rPr>
                <w:rStyle w:val="Heading3Char"/>
              </w:rPr>
              <w:t>Areas for improvement opportunities:</w:t>
            </w:r>
          </w:p>
          <w:p w:rsidR="001B5D54" w:rsidRDefault="001B5D54" w:rsidP="00C35ADC">
            <w:pPr>
              <w:spacing w:before="60" w:after="60"/>
              <w:rPr>
                <w:sz w:val="24"/>
              </w:rPr>
            </w:pPr>
            <w:r>
              <w:rPr>
                <w:sz w:val="24"/>
              </w:rPr>
              <w:t>Current TrendCare resource meets the 1 per 600 FTE requirement as recommended by the Ministry of Health.  However, this does not consider head count (part time staff).  At present CCDHB is unable to expand TrendCare into other areas due to inadequate resource to facilitate.</w:t>
            </w:r>
          </w:p>
          <w:p w:rsidR="001B5D54" w:rsidRDefault="001B5D54" w:rsidP="00C35ADC">
            <w:pPr>
              <w:spacing w:before="60" w:after="60"/>
              <w:rPr>
                <w:sz w:val="24"/>
              </w:rPr>
            </w:pPr>
            <w:r>
              <w:rPr>
                <w:sz w:val="24"/>
              </w:rPr>
              <w:t xml:space="preserve">TrendCare education and improvements are continuous to ensure compliance </w:t>
            </w:r>
            <w:r w:rsidR="006C7546">
              <w:rPr>
                <w:sz w:val="24"/>
              </w:rPr>
              <w:t>and accuracy is maintained.</w:t>
            </w:r>
          </w:p>
          <w:p w:rsidR="006C7546" w:rsidRDefault="006C7546" w:rsidP="00C35ADC">
            <w:pPr>
              <w:spacing w:before="60" w:after="60"/>
              <w:rPr>
                <w:sz w:val="24"/>
              </w:rPr>
            </w:pPr>
            <w:r>
              <w:rPr>
                <w:sz w:val="24"/>
              </w:rPr>
              <w:t>Rapid ward changes during the Covid response posed some issues for ensuring TrendCare accuracy due to communication issues and a rapidly progressing situation.</w:t>
            </w:r>
            <w:r w:rsidR="00C50425">
              <w:rPr>
                <w:sz w:val="24"/>
              </w:rPr>
              <w:t xml:space="preserve"> Opportunity to improve understanding and communication of the criticality of TrendCare throughout the organisation.</w:t>
            </w:r>
          </w:p>
          <w:p w:rsidR="00681A60" w:rsidRPr="007A0AD7" w:rsidRDefault="00681A60" w:rsidP="00CD3E6B">
            <w:pPr>
              <w:spacing w:before="60" w:after="60"/>
              <w:rPr>
                <w:sz w:val="24"/>
              </w:rPr>
            </w:pPr>
          </w:p>
        </w:tc>
      </w:tr>
    </w:tbl>
    <w:p w:rsidR="00933007" w:rsidRDefault="00933007" w:rsidP="00933007"/>
    <w:p w:rsidR="00933007" w:rsidRDefault="00933007">
      <w:pPr>
        <w:spacing w:after="0" w:line="240" w:lineRule="auto"/>
        <w:jc w:val="left"/>
        <w:rPr>
          <w:rFonts w:eastAsiaTheme="majorEastAsia" w:cs="Calibri"/>
          <w:bCs/>
          <w:color w:val="A79F53"/>
          <w:sz w:val="44"/>
          <w:szCs w:val="32"/>
        </w:rPr>
      </w:pPr>
      <w:r>
        <w:br w:type="page"/>
      </w:r>
    </w:p>
    <w:p w:rsidR="00933007" w:rsidRPr="00CE738B" w:rsidRDefault="00933007" w:rsidP="008F1BD0">
      <w:pPr>
        <w:pStyle w:val="Heading2"/>
      </w:pPr>
      <w:r>
        <w:lastRenderedPageBreak/>
        <w:t>Standard 3</w:t>
      </w:r>
      <w:r w:rsidR="00961F09">
        <w:t>.0</w:t>
      </w:r>
      <w:r>
        <w:t xml:space="preserve"> – Core </w:t>
      </w:r>
      <w:r w:rsidR="008F1BD0">
        <w:t>d</w:t>
      </w:r>
      <w:r>
        <w:t xml:space="preserve">ata </w:t>
      </w:r>
      <w:r w:rsidR="008F1BD0">
        <w:t>s</w:t>
      </w:r>
      <w:r>
        <w:t xml:space="preserve">et </w:t>
      </w:r>
    </w:p>
    <w:tbl>
      <w:tblPr>
        <w:tblStyle w:val="TableGrid"/>
        <w:tblW w:w="0" w:type="auto"/>
        <w:shd w:val="clear" w:color="auto" w:fill="BFB97F"/>
        <w:tblLook w:val="04A0" w:firstRow="1" w:lastRow="0" w:firstColumn="1" w:lastColumn="0" w:noHBand="0" w:noVBand="1"/>
      </w:tblPr>
      <w:tblGrid>
        <w:gridCol w:w="14174"/>
      </w:tblGrid>
      <w:tr w:rsidR="00933007" w:rsidTr="00352EC3">
        <w:trPr>
          <w:tblHeader/>
        </w:trPr>
        <w:tc>
          <w:tcPr>
            <w:tcW w:w="14174" w:type="dxa"/>
            <w:shd w:val="clear" w:color="auto" w:fill="BFB97F"/>
          </w:tcPr>
          <w:p w:rsidR="00933007" w:rsidRDefault="00933007" w:rsidP="000E0334">
            <w:pPr>
              <w:pStyle w:val="NoSpacing"/>
              <w:rPr>
                <w:b/>
                <w:sz w:val="22"/>
              </w:rPr>
            </w:pPr>
            <w:r w:rsidRPr="00933007">
              <w:rPr>
                <w:b/>
                <w:sz w:val="22"/>
              </w:rPr>
              <w:t>Standard 3.0</w:t>
            </w:r>
          </w:p>
          <w:p w:rsidR="00352EC3" w:rsidRPr="00352EC3" w:rsidRDefault="00352EC3" w:rsidP="00352EC3">
            <w:pPr>
              <w:pStyle w:val="NoSpacing"/>
            </w:pPr>
          </w:p>
          <w:p w:rsidR="00933007" w:rsidRPr="00933007" w:rsidRDefault="00933007" w:rsidP="000E0334">
            <w:pPr>
              <w:pStyle w:val="NoSpacing"/>
              <w:rPr>
                <w:sz w:val="22"/>
              </w:rPr>
            </w:pPr>
            <w:r w:rsidRPr="00933007">
              <w:rPr>
                <w:sz w:val="22"/>
              </w:rPr>
              <w:t>The organisation uses a balanced set of CCDM measures (</w:t>
            </w:r>
            <w:r w:rsidR="007F1935">
              <w:rPr>
                <w:sz w:val="22"/>
              </w:rPr>
              <w:t>c</w:t>
            </w:r>
            <w:r w:rsidRPr="00933007">
              <w:rPr>
                <w:sz w:val="22"/>
              </w:rPr>
              <w:t xml:space="preserve">ore </w:t>
            </w:r>
            <w:r w:rsidR="007F1935">
              <w:rPr>
                <w:sz w:val="22"/>
              </w:rPr>
              <w:t>d</w:t>
            </w:r>
            <w:r w:rsidRPr="00933007">
              <w:rPr>
                <w:sz w:val="22"/>
              </w:rPr>
              <w:t xml:space="preserve">ata </w:t>
            </w:r>
            <w:r w:rsidR="007F1935">
              <w:rPr>
                <w:sz w:val="22"/>
              </w:rPr>
              <w:t>s</w:t>
            </w:r>
            <w:r w:rsidRPr="00933007">
              <w:rPr>
                <w:sz w:val="22"/>
              </w:rPr>
              <w:t>et) to evaluate the effectiveness of care capacity and demand management over</w:t>
            </w:r>
            <w:r w:rsidR="006E6F00">
              <w:rPr>
                <w:sz w:val="22"/>
              </w:rPr>
              <w:t xml:space="preserve"> </w:t>
            </w:r>
            <w:r w:rsidRPr="00933007">
              <w:rPr>
                <w:sz w:val="22"/>
              </w:rPr>
              <w:t>time and to make improvements.</w:t>
            </w:r>
          </w:p>
          <w:p w:rsidR="00933007" w:rsidRPr="00933007" w:rsidRDefault="00933007" w:rsidP="000E0334">
            <w:pPr>
              <w:pStyle w:val="NoSpacing"/>
              <w:rPr>
                <w:b/>
                <w:sz w:val="22"/>
              </w:rPr>
            </w:pPr>
          </w:p>
        </w:tc>
      </w:tr>
    </w:tbl>
    <w:p w:rsidR="00933007" w:rsidRDefault="00933007" w:rsidP="00933007">
      <w:pPr>
        <w:pStyle w:val="NoSpacing"/>
      </w:pPr>
    </w:p>
    <w:tbl>
      <w:tblPr>
        <w:tblStyle w:val="TableGrid"/>
        <w:tblW w:w="0" w:type="auto"/>
        <w:tblLook w:val="04A0" w:firstRow="1" w:lastRow="0" w:firstColumn="1" w:lastColumn="0" w:noHBand="0" w:noVBand="1"/>
      </w:tblPr>
      <w:tblGrid>
        <w:gridCol w:w="5211"/>
        <w:gridCol w:w="8931"/>
      </w:tblGrid>
      <w:tr w:rsidR="00933007" w:rsidTr="00352EC3">
        <w:tc>
          <w:tcPr>
            <w:tcW w:w="5211" w:type="dxa"/>
            <w:shd w:val="clear" w:color="auto" w:fill="BFB97F"/>
          </w:tcPr>
          <w:p w:rsidR="00933007" w:rsidRPr="005B0CC3" w:rsidRDefault="00933007" w:rsidP="000E0334">
            <w:pPr>
              <w:rPr>
                <w:b/>
                <w:szCs w:val="28"/>
              </w:rPr>
            </w:pPr>
            <w:r w:rsidRPr="005B0CC3">
              <w:rPr>
                <w:b/>
                <w:szCs w:val="28"/>
              </w:rPr>
              <w:t>Criteria</w:t>
            </w:r>
          </w:p>
        </w:tc>
        <w:tc>
          <w:tcPr>
            <w:tcW w:w="8931" w:type="dxa"/>
            <w:tcBorders>
              <w:bottom w:val="single" w:sz="4" w:space="0" w:color="auto"/>
            </w:tcBorders>
            <w:shd w:val="clear" w:color="auto" w:fill="BFB97F"/>
          </w:tcPr>
          <w:p w:rsidR="00933007" w:rsidRPr="005B0CC3" w:rsidRDefault="00933007" w:rsidP="007F1935">
            <w:pPr>
              <w:rPr>
                <w:b/>
                <w:szCs w:val="28"/>
              </w:rPr>
            </w:pPr>
            <w:r>
              <w:rPr>
                <w:b/>
                <w:szCs w:val="28"/>
              </w:rPr>
              <w:t xml:space="preserve">Evidence </w:t>
            </w:r>
            <w:r w:rsidRPr="00600CC8">
              <w:rPr>
                <w:szCs w:val="28"/>
              </w:rPr>
              <w:t>(</w:t>
            </w:r>
            <w:r w:rsidRPr="00600CC8">
              <w:rPr>
                <w:i/>
                <w:szCs w:val="28"/>
              </w:rPr>
              <w:t>use standards guidance</w:t>
            </w:r>
            <w:r w:rsidRPr="00600CC8">
              <w:rPr>
                <w:szCs w:val="28"/>
              </w:rPr>
              <w:t>)</w:t>
            </w:r>
            <w:r>
              <w:rPr>
                <w:szCs w:val="28"/>
              </w:rPr>
              <w:t xml:space="preserve"> expectation is to see evidence at Executive / </w:t>
            </w:r>
            <w:r w:rsidR="007F1935">
              <w:rPr>
                <w:szCs w:val="28"/>
              </w:rPr>
              <w:t>d</w:t>
            </w:r>
            <w:r>
              <w:rPr>
                <w:szCs w:val="28"/>
              </w:rPr>
              <w:t>irectorate</w:t>
            </w:r>
            <w:r w:rsidR="006E6F00">
              <w:rPr>
                <w:szCs w:val="28"/>
              </w:rPr>
              <w:t>/service</w:t>
            </w:r>
            <w:r>
              <w:rPr>
                <w:szCs w:val="28"/>
              </w:rPr>
              <w:t xml:space="preserve"> and </w:t>
            </w:r>
            <w:r w:rsidR="007F1935">
              <w:rPr>
                <w:szCs w:val="28"/>
              </w:rPr>
              <w:t>w</w:t>
            </w:r>
            <w:r>
              <w:rPr>
                <w:szCs w:val="28"/>
              </w:rPr>
              <w:t>ard level</w:t>
            </w:r>
          </w:p>
        </w:tc>
      </w:tr>
      <w:tr w:rsidR="00933007" w:rsidTr="00961F09">
        <w:trPr>
          <w:trHeight w:val="906"/>
        </w:trPr>
        <w:tc>
          <w:tcPr>
            <w:tcW w:w="5211" w:type="dxa"/>
            <w:shd w:val="clear" w:color="auto" w:fill="E6E4CC"/>
          </w:tcPr>
          <w:p w:rsidR="00933007" w:rsidRPr="001B11E8" w:rsidRDefault="00933007" w:rsidP="00235BBD">
            <w:pPr>
              <w:pStyle w:val="NoSpacing"/>
              <w:numPr>
                <w:ilvl w:val="0"/>
                <w:numId w:val="12"/>
              </w:numPr>
              <w:spacing w:line="276" w:lineRule="auto"/>
              <w:jc w:val="left"/>
            </w:pPr>
            <w:r w:rsidRPr="001B11E8">
              <w:t xml:space="preserve">The </w:t>
            </w:r>
            <w:r w:rsidR="00235BBD">
              <w:t>c</w:t>
            </w:r>
            <w:r w:rsidRPr="001B11E8">
              <w:t>ouncil has the authority, accountability and responsibility for setting</w:t>
            </w:r>
            <w:r>
              <w:t>, implementing</w:t>
            </w:r>
            <w:r w:rsidRPr="001B11E8">
              <w:t xml:space="preserve"> and monitoring the </w:t>
            </w:r>
            <w:r>
              <w:t>Core Data Set</w:t>
            </w:r>
            <w:r w:rsidRPr="001B11E8">
              <w:t>.</w:t>
            </w:r>
          </w:p>
        </w:tc>
        <w:tc>
          <w:tcPr>
            <w:tcW w:w="8931" w:type="dxa"/>
            <w:shd w:val="clear" w:color="auto" w:fill="auto"/>
          </w:tcPr>
          <w:p w:rsidR="00232731" w:rsidRDefault="00BA20A0" w:rsidP="000E0334">
            <w:pPr>
              <w:pStyle w:val="ListParagraph"/>
              <w:numPr>
                <w:ilvl w:val="0"/>
                <w:numId w:val="23"/>
              </w:numPr>
              <w:rPr>
                <w:sz w:val="20"/>
                <w:szCs w:val="20"/>
              </w:rPr>
            </w:pPr>
            <w:r w:rsidRPr="00232731">
              <w:rPr>
                <w:sz w:val="20"/>
                <w:szCs w:val="20"/>
              </w:rPr>
              <w:t>The c</w:t>
            </w:r>
            <w:r w:rsidR="00232731">
              <w:rPr>
                <w:sz w:val="20"/>
                <w:szCs w:val="20"/>
              </w:rPr>
              <w:t>ore data set, developed and implemented using Qlik, is now being used to inform data driven decisions, support FTE calculations and to drive quality improvement through the local data councils.</w:t>
            </w:r>
          </w:p>
          <w:p w:rsidR="00BA20A0" w:rsidRPr="00232731" w:rsidRDefault="00BA20A0" w:rsidP="00232731">
            <w:pPr>
              <w:pStyle w:val="ListParagraph"/>
              <w:ind w:left="360"/>
              <w:rPr>
                <w:sz w:val="20"/>
                <w:szCs w:val="20"/>
              </w:rPr>
            </w:pPr>
            <w:r w:rsidRPr="00232731">
              <w:rPr>
                <w:sz w:val="20"/>
                <w:szCs w:val="20"/>
              </w:rPr>
              <w:t>This is with the exception of patient experience</w:t>
            </w:r>
            <w:r w:rsidR="00232731">
              <w:rPr>
                <w:sz w:val="20"/>
                <w:szCs w:val="20"/>
              </w:rPr>
              <w:t xml:space="preserve"> (HQSC redeveloping patient survey)</w:t>
            </w:r>
            <w:r w:rsidRPr="00232731">
              <w:rPr>
                <w:sz w:val="20"/>
                <w:szCs w:val="20"/>
              </w:rPr>
              <w:t xml:space="preserve">, </w:t>
            </w:r>
            <w:r w:rsidR="00232731">
              <w:rPr>
                <w:sz w:val="20"/>
                <w:szCs w:val="20"/>
              </w:rPr>
              <w:t xml:space="preserve">staff experience (TrendCare end of shift survey under review by national lead DONs and unions, </w:t>
            </w:r>
            <w:r w:rsidRPr="00232731">
              <w:rPr>
                <w:sz w:val="20"/>
                <w:szCs w:val="20"/>
              </w:rPr>
              <w:t xml:space="preserve">care rationing, professional development </w:t>
            </w:r>
            <w:r w:rsidR="006565EF" w:rsidRPr="00232731">
              <w:rPr>
                <w:sz w:val="20"/>
                <w:szCs w:val="20"/>
              </w:rPr>
              <w:t>and variance indicator scoring (as VIS has not been implemented as yet).</w:t>
            </w:r>
          </w:p>
          <w:p w:rsidR="00734BF7" w:rsidRPr="007A0AD7" w:rsidRDefault="00232731" w:rsidP="00CD3E6B">
            <w:pPr>
              <w:pStyle w:val="ListParagraph"/>
              <w:numPr>
                <w:ilvl w:val="0"/>
                <w:numId w:val="23"/>
              </w:numPr>
              <w:rPr>
                <w:sz w:val="20"/>
                <w:szCs w:val="20"/>
              </w:rPr>
            </w:pPr>
            <w:r>
              <w:rPr>
                <w:sz w:val="20"/>
                <w:szCs w:val="20"/>
              </w:rPr>
              <w:t>The core data set work stream is now beginning to review the data to support FTE calculations. This will continue monthly with the implementation of the FTE required to monitor the impact</w:t>
            </w:r>
            <w:r w:rsidR="00C422EF">
              <w:rPr>
                <w:sz w:val="20"/>
                <w:szCs w:val="20"/>
              </w:rPr>
              <w:t xml:space="preserve"> which will be reported to the CCDM Council</w:t>
            </w:r>
            <w:r>
              <w:rPr>
                <w:sz w:val="20"/>
                <w:szCs w:val="20"/>
              </w:rPr>
              <w:t xml:space="preserve">. </w:t>
            </w:r>
          </w:p>
          <w:p w:rsidR="00A77E2B" w:rsidRPr="00CD3E6B" w:rsidRDefault="00A77E2B" w:rsidP="00CD3E6B">
            <w:pPr>
              <w:pStyle w:val="ListParagraph"/>
              <w:numPr>
                <w:ilvl w:val="0"/>
                <w:numId w:val="23"/>
              </w:numPr>
              <w:rPr>
                <w:i/>
                <w:sz w:val="20"/>
                <w:szCs w:val="20"/>
              </w:rPr>
            </w:pPr>
            <w:r w:rsidRPr="007A0AD7">
              <w:rPr>
                <w:sz w:val="20"/>
                <w:szCs w:val="20"/>
              </w:rPr>
              <w:t>The core data set is included in the CCDM Council papers ensuring t</w:t>
            </w:r>
            <w:r w:rsidR="006565EF">
              <w:rPr>
                <w:sz w:val="20"/>
                <w:szCs w:val="20"/>
              </w:rPr>
              <w:t>hat the union partners have</w:t>
            </w:r>
            <w:r w:rsidRPr="007A0AD7">
              <w:rPr>
                <w:sz w:val="20"/>
                <w:szCs w:val="20"/>
              </w:rPr>
              <w:t xml:space="preserve"> access to this information.</w:t>
            </w:r>
            <w:r w:rsidR="006565EF">
              <w:rPr>
                <w:sz w:val="20"/>
                <w:szCs w:val="20"/>
              </w:rPr>
              <w:t xml:space="preserve">  The information is ‘heat mapped’ to show areas of concern.</w:t>
            </w:r>
            <w:r w:rsidR="00232731">
              <w:rPr>
                <w:sz w:val="20"/>
                <w:szCs w:val="20"/>
              </w:rPr>
              <w:t xml:space="preserve">  The heat mapping has been developed in partnership within the core data set work stream and enables a ‘flag’ to areas of concern requiring further investigation.</w:t>
            </w:r>
            <w:r w:rsidR="0031579E">
              <w:rPr>
                <w:sz w:val="20"/>
                <w:szCs w:val="20"/>
              </w:rPr>
              <w:t xml:space="preserve">  Union are encouraged to review the core data set with the CCDM programme manager as required to enable transparency and partnership. </w:t>
            </w:r>
          </w:p>
        </w:tc>
      </w:tr>
      <w:tr w:rsidR="00933007" w:rsidTr="00961F09">
        <w:trPr>
          <w:trHeight w:val="906"/>
        </w:trPr>
        <w:tc>
          <w:tcPr>
            <w:tcW w:w="5211" w:type="dxa"/>
            <w:shd w:val="clear" w:color="auto" w:fill="E6E4CC"/>
          </w:tcPr>
          <w:p w:rsidR="00933007" w:rsidRPr="001B11E8" w:rsidRDefault="00933007" w:rsidP="007A0AD7">
            <w:pPr>
              <w:pStyle w:val="NoSpacing"/>
              <w:numPr>
                <w:ilvl w:val="0"/>
                <w:numId w:val="12"/>
              </w:numPr>
              <w:spacing w:line="276" w:lineRule="auto"/>
              <w:jc w:val="left"/>
            </w:pPr>
            <w:r w:rsidRPr="001B11E8">
              <w:t xml:space="preserve">The </w:t>
            </w:r>
            <w:r>
              <w:t>Core Data Set is used to evaluate the effectiveness of</w:t>
            </w:r>
            <w:r w:rsidRPr="001B11E8">
              <w:t xml:space="preserve"> care capacity demand management</w:t>
            </w:r>
            <w:r>
              <w:t xml:space="preserve"> in the DHB and make improvements</w:t>
            </w:r>
            <w:r w:rsidRPr="001B11E8">
              <w:t>.</w:t>
            </w:r>
          </w:p>
        </w:tc>
        <w:tc>
          <w:tcPr>
            <w:tcW w:w="8931" w:type="dxa"/>
            <w:shd w:val="clear" w:color="auto" w:fill="auto"/>
          </w:tcPr>
          <w:p w:rsidR="00BA20A0" w:rsidRPr="007A0AD7" w:rsidRDefault="00232731" w:rsidP="007A0AD7">
            <w:pPr>
              <w:pStyle w:val="ListParagraph"/>
              <w:numPr>
                <w:ilvl w:val="0"/>
                <w:numId w:val="24"/>
              </w:numPr>
              <w:rPr>
                <w:sz w:val="20"/>
                <w:szCs w:val="20"/>
              </w:rPr>
            </w:pPr>
            <w:r>
              <w:rPr>
                <w:sz w:val="20"/>
                <w:szCs w:val="20"/>
              </w:rPr>
              <w:t>The</w:t>
            </w:r>
            <w:r w:rsidR="00BA20A0" w:rsidRPr="007A0AD7">
              <w:rPr>
                <w:sz w:val="20"/>
                <w:szCs w:val="20"/>
              </w:rPr>
              <w:t xml:space="preserve"> data literacy programme </w:t>
            </w:r>
            <w:r>
              <w:rPr>
                <w:sz w:val="20"/>
                <w:szCs w:val="20"/>
              </w:rPr>
              <w:t>has been implemented with positive feedback.  This is open to all charge and associate charge nurse and midwife managers</w:t>
            </w:r>
            <w:r w:rsidR="000F632F">
              <w:rPr>
                <w:sz w:val="20"/>
                <w:szCs w:val="20"/>
              </w:rPr>
              <w:t xml:space="preserve"> and team leaders</w:t>
            </w:r>
            <w:r w:rsidR="0031579E">
              <w:rPr>
                <w:sz w:val="20"/>
                <w:szCs w:val="20"/>
              </w:rPr>
              <w:t>.</w:t>
            </w:r>
          </w:p>
          <w:p w:rsidR="00BA20A0" w:rsidRDefault="0031579E" w:rsidP="007A0AD7">
            <w:pPr>
              <w:pStyle w:val="ListParagraph"/>
              <w:numPr>
                <w:ilvl w:val="0"/>
                <w:numId w:val="24"/>
              </w:numPr>
              <w:rPr>
                <w:sz w:val="20"/>
                <w:szCs w:val="20"/>
              </w:rPr>
            </w:pPr>
            <w:r>
              <w:rPr>
                <w:sz w:val="20"/>
                <w:szCs w:val="20"/>
              </w:rPr>
              <w:t>The impact of the CCDM programme is being assessed using the core data set and is clearly visible through the metrics.</w:t>
            </w:r>
          </w:p>
          <w:p w:rsidR="0031579E" w:rsidRPr="007A0AD7" w:rsidRDefault="0031579E" w:rsidP="007A0AD7">
            <w:pPr>
              <w:pStyle w:val="ListParagraph"/>
              <w:numPr>
                <w:ilvl w:val="0"/>
                <w:numId w:val="24"/>
              </w:numPr>
              <w:rPr>
                <w:sz w:val="20"/>
                <w:szCs w:val="20"/>
              </w:rPr>
            </w:pPr>
            <w:r>
              <w:rPr>
                <w:sz w:val="20"/>
                <w:szCs w:val="20"/>
              </w:rPr>
              <w:t>The core data set has enabled a high level of visibility and transparency for whole of organisation and union partners.</w:t>
            </w:r>
          </w:p>
        </w:tc>
      </w:tr>
      <w:tr w:rsidR="00933007" w:rsidTr="00961F09">
        <w:trPr>
          <w:trHeight w:val="789"/>
        </w:trPr>
        <w:tc>
          <w:tcPr>
            <w:tcW w:w="5211" w:type="dxa"/>
            <w:shd w:val="clear" w:color="auto" w:fill="E6E4CC"/>
          </w:tcPr>
          <w:p w:rsidR="00933007" w:rsidRPr="001B11E8" w:rsidRDefault="00933007" w:rsidP="00933007">
            <w:pPr>
              <w:pStyle w:val="NoSpacing"/>
              <w:numPr>
                <w:ilvl w:val="0"/>
                <w:numId w:val="12"/>
              </w:numPr>
              <w:spacing w:line="276" w:lineRule="auto"/>
              <w:jc w:val="left"/>
            </w:pPr>
            <w:r w:rsidRPr="001B11E8">
              <w:t xml:space="preserve">The </w:t>
            </w:r>
            <w:r>
              <w:t>Core Data Set is</w:t>
            </w:r>
            <w:r w:rsidRPr="001B11E8">
              <w:t xml:space="preserve"> monitored, reported and actioned at ward/unit, directorate and hospital </w:t>
            </w:r>
            <w:r>
              <w:t>wide</w:t>
            </w:r>
            <w:r w:rsidRPr="001B11E8">
              <w:t xml:space="preserve"> level. </w:t>
            </w:r>
          </w:p>
        </w:tc>
        <w:tc>
          <w:tcPr>
            <w:tcW w:w="8931" w:type="dxa"/>
            <w:shd w:val="clear" w:color="auto" w:fill="auto"/>
          </w:tcPr>
          <w:p w:rsidR="00655A2C" w:rsidRDefault="0031579E" w:rsidP="00655A2C">
            <w:pPr>
              <w:pStyle w:val="ListParagraph"/>
              <w:numPr>
                <w:ilvl w:val="0"/>
                <w:numId w:val="25"/>
              </w:numPr>
              <w:rPr>
                <w:sz w:val="20"/>
                <w:szCs w:val="20"/>
              </w:rPr>
            </w:pPr>
            <w:r>
              <w:rPr>
                <w:sz w:val="20"/>
                <w:szCs w:val="20"/>
              </w:rPr>
              <w:t>The CCDM Council receive the core data set monthly and moving forward will receive a summary from the core data set work stream as this group reviews and monitors the data and the impact of FTE implementation.</w:t>
            </w:r>
          </w:p>
          <w:p w:rsidR="0031579E" w:rsidRPr="007A0AD7" w:rsidRDefault="0031579E" w:rsidP="00655A2C">
            <w:pPr>
              <w:pStyle w:val="ListParagraph"/>
              <w:numPr>
                <w:ilvl w:val="0"/>
                <w:numId w:val="25"/>
              </w:numPr>
              <w:rPr>
                <w:sz w:val="20"/>
                <w:szCs w:val="20"/>
              </w:rPr>
            </w:pPr>
            <w:r>
              <w:rPr>
                <w:sz w:val="20"/>
                <w:szCs w:val="20"/>
              </w:rPr>
              <w:lastRenderedPageBreak/>
              <w:t>Local data councils use the core data set within their monthly meetings and this activity is reported to the CCDM Council through the monthly CCDM programme managers report.</w:t>
            </w:r>
          </w:p>
        </w:tc>
      </w:tr>
      <w:tr w:rsidR="00933007" w:rsidTr="00961F09">
        <w:trPr>
          <w:trHeight w:val="906"/>
        </w:trPr>
        <w:tc>
          <w:tcPr>
            <w:tcW w:w="5211" w:type="dxa"/>
            <w:shd w:val="clear" w:color="auto" w:fill="E6E4CC"/>
          </w:tcPr>
          <w:p w:rsidR="00933007" w:rsidRPr="001B11E8" w:rsidRDefault="00933007" w:rsidP="00933007">
            <w:pPr>
              <w:pStyle w:val="NoSpacing"/>
              <w:numPr>
                <w:ilvl w:val="0"/>
                <w:numId w:val="12"/>
              </w:numPr>
              <w:spacing w:line="276" w:lineRule="auto"/>
              <w:jc w:val="left"/>
            </w:pPr>
            <w:r w:rsidRPr="001B11E8">
              <w:lastRenderedPageBreak/>
              <w:t xml:space="preserve">The organisation </w:t>
            </w:r>
            <w:r>
              <w:t>annually reviews</w:t>
            </w:r>
            <w:r w:rsidRPr="001B11E8">
              <w:t xml:space="preserve"> the relevance, frequency and effectiveness of</w:t>
            </w:r>
            <w:r>
              <w:t xml:space="preserve"> the Core Data Set.</w:t>
            </w:r>
            <w:r w:rsidRPr="001B11E8">
              <w:t xml:space="preserve"> </w:t>
            </w:r>
            <w:r>
              <w:t>Reporting on progress with quality improvement</w:t>
            </w:r>
            <w:r w:rsidRPr="001B11E8">
              <w:t>.</w:t>
            </w:r>
          </w:p>
        </w:tc>
        <w:tc>
          <w:tcPr>
            <w:tcW w:w="8931" w:type="dxa"/>
            <w:shd w:val="clear" w:color="auto" w:fill="auto"/>
          </w:tcPr>
          <w:p w:rsidR="00933007" w:rsidRPr="007A0AD7" w:rsidRDefault="0031579E" w:rsidP="00655A2C">
            <w:pPr>
              <w:pStyle w:val="ListParagraph"/>
              <w:numPr>
                <w:ilvl w:val="0"/>
                <w:numId w:val="25"/>
              </w:numPr>
              <w:rPr>
                <w:sz w:val="20"/>
                <w:szCs w:val="20"/>
              </w:rPr>
            </w:pPr>
            <w:r>
              <w:rPr>
                <w:sz w:val="20"/>
                <w:szCs w:val="20"/>
              </w:rPr>
              <w:t>As per the above points.</w:t>
            </w:r>
          </w:p>
        </w:tc>
      </w:tr>
    </w:tbl>
    <w:p w:rsidR="00933007" w:rsidRDefault="00933007" w:rsidP="00933007">
      <w:pPr>
        <w:pStyle w:val="NoSpacing"/>
      </w:pPr>
    </w:p>
    <w:p w:rsidR="00933007" w:rsidRDefault="00933007" w:rsidP="00933007"/>
    <w:tbl>
      <w:tblPr>
        <w:tblStyle w:val="TableGrid"/>
        <w:tblW w:w="0" w:type="auto"/>
        <w:tblLook w:val="04A0" w:firstRow="1" w:lastRow="0" w:firstColumn="1" w:lastColumn="0" w:noHBand="0" w:noVBand="1"/>
      </w:tblPr>
      <w:tblGrid>
        <w:gridCol w:w="3510"/>
        <w:gridCol w:w="4111"/>
        <w:gridCol w:w="3260"/>
        <w:gridCol w:w="3402"/>
      </w:tblGrid>
      <w:tr w:rsidR="00933007" w:rsidTr="00352EC3">
        <w:tc>
          <w:tcPr>
            <w:tcW w:w="14283" w:type="dxa"/>
            <w:gridSpan w:val="4"/>
            <w:shd w:val="clear" w:color="auto" w:fill="BFB97F"/>
          </w:tcPr>
          <w:p w:rsidR="00933007" w:rsidRPr="002112FE" w:rsidRDefault="00933007" w:rsidP="000E0334">
            <w:pPr>
              <w:pStyle w:val="NoSpacing"/>
              <w:spacing w:before="60" w:after="60"/>
              <w:rPr>
                <w:b/>
              </w:rPr>
            </w:pPr>
            <w:r w:rsidRPr="002112FE">
              <w:rPr>
                <w:b/>
              </w:rPr>
              <w:t xml:space="preserve">Standard overall attainment </w:t>
            </w:r>
          </w:p>
        </w:tc>
      </w:tr>
      <w:tr w:rsidR="00933007" w:rsidTr="000E0334">
        <w:tc>
          <w:tcPr>
            <w:tcW w:w="3510" w:type="dxa"/>
            <w:shd w:val="clear" w:color="auto" w:fill="auto"/>
          </w:tcPr>
          <w:p w:rsidR="00933007" w:rsidRDefault="002749DA" w:rsidP="000E0334">
            <w:pPr>
              <w:pStyle w:val="NoSpacing"/>
              <w:spacing w:before="60" w:after="60"/>
            </w:pPr>
            <w:sdt>
              <w:sdtPr>
                <w:id w:val="-1536115124"/>
                <w14:checkbox>
                  <w14:checked w14:val="0"/>
                  <w14:checkedState w14:val="2612" w14:font="MS Gothic"/>
                  <w14:uncheckedState w14:val="2610" w14:font="MS Gothic"/>
                </w14:checkbox>
              </w:sdtPr>
              <w:sdtEndPr/>
              <w:sdtContent>
                <w:r w:rsidR="00933007">
                  <w:rPr>
                    <w:rFonts w:ascii="MS Gothic" w:eastAsia="MS Gothic" w:hint="eastAsia"/>
                  </w:rPr>
                  <w:t>☐</w:t>
                </w:r>
              </w:sdtContent>
            </w:sdt>
            <w:r w:rsidR="00933007">
              <w:t xml:space="preserve"> NA – Not attained</w:t>
            </w:r>
          </w:p>
        </w:tc>
        <w:tc>
          <w:tcPr>
            <w:tcW w:w="4111" w:type="dxa"/>
            <w:shd w:val="clear" w:color="auto" w:fill="auto"/>
          </w:tcPr>
          <w:p w:rsidR="00933007" w:rsidRDefault="002749DA" w:rsidP="000E0334">
            <w:pPr>
              <w:pStyle w:val="NoSpacing"/>
              <w:spacing w:before="60" w:after="60"/>
            </w:pPr>
            <w:sdt>
              <w:sdtPr>
                <w:id w:val="-896512155"/>
                <w14:checkbox>
                  <w14:checked w14:val="0"/>
                  <w14:checkedState w14:val="2612" w14:font="MS Gothic"/>
                  <w14:uncheckedState w14:val="2610" w14:font="MS Gothic"/>
                </w14:checkbox>
              </w:sdtPr>
              <w:sdtEndPr/>
              <w:sdtContent>
                <w:r w:rsidR="003A56D7">
                  <w:rPr>
                    <w:rFonts w:ascii="MS Gothic" w:eastAsia="MS Gothic" w:hAnsi="MS Gothic" w:hint="eastAsia"/>
                  </w:rPr>
                  <w:t>☐</w:t>
                </w:r>
              </w:sdtContent>
            </w:sdt>
            <w:r w:rsidR="00933007">
              <w:t xml:space="preserve"> PA – Partially attained </w:t>
            </w:r>
          </w:p>
        </w:tc>
        <w:tc>
          <w:tcPr>
            <w:tcW w:w="3260" w:type="dxa"/>
            <w:shd w:val="clear" w:color="auto" w:fill="auto"/>
          </w:tcPr>
          <w:p w:rsidR="00933007" w:rsidRDefault="002749DA" w:rsidP="000E0334">
            <w:pPr>
              <w:pStyle w:val="NoSpacing"/>
              <w:spacing w:before="60" w:after="60"/>
            </w:pPr>
            <w:sdt>
              <w:sdtPr>
                <w:id w:val="508946058"/>
                <w14:checkbox>
                  <w14:checked w14:val="1"/>
                  <w14:checkedState w14:val="2612" w14:font="MS Gothic"/>
                  <w14:uncheckedState w14:val="2610" w14:font="MS Gothic"/>
                </w14:checkbox>
              </w:sdtPr>
              <w:sdtEndPr/>
              <w:sdtContent>
                <w:r w:rsidR="003A56D7">
                  <w:rPr>
                    <w:rFonts w:ascii="MS Gothic" w:eastAsia="MS Gothic" w:hAnsi="MS Gothic" w:hint="eastAsia"/>
                  </w:rPr>
                  <w:t>☒</w:t>
                </w:r>
              </w:sdtContent>
            </w:sdt>
            <w:r w:rsidR="00933007">
              <w:t xml:space="preserve"> FA – Fully attained</w:t>
            </w:r>
          </w:p>
          <w:p w:rsidR="00B901EC" w:rsidRDefault="00B901EC" w:rsidP="000E0334">
            <w:pPr>
              <w:pStyle w:val="NoSpacing"/>
              <w:spacing w:before="60" w:after="60"/>
            </w:pPr>
            <w:r>
              <w:t xml:space="preserve">Within the constraints of </w:t>
            </w:r>
            <w:r w:rsidR="00F56698">
              <w:t>metrics available to implement nationally</w:t>
            </w:r>
          </w:p>
        </w:tc>
        <w:tc>
          <w:tcPr>
            <w:tcW w:w="3402" w:type="dxa"/>
            <w:shd w:val="clear" w:color="auto" w:fill="auto"/>
          </w:tcPr>
          <w:p w:rsidR="00933007" w:rsidRDefault="002749DA" w:rsidP="000E0334">
            <w:pPr>
              <w:pStyle w:val="NoSpacing"/>
              <w:spacing w:before="60" w:after="60"/>
            </w:pPr>
            <w:sdt>
              <w:sdtPr>
                <w:id w:val="-1386174693"/>
                <w14:checkbox>
                  <w14:checked w14:val="0"/>
                  <w14:checkedState w14:val="2612" w14:font="MS Gothic"/>
                  <w14:uncheckedState w14:val="2610" w14:font="MS Gothic"/>
                </w14:checkbox>
              </w:sdtPr>
              <w:sdtEndPr/>
              <w:sdtContent>
                <w:r w:rsidR="00933007">
                  <w:rPr>
                    <w:rFonts w:ascii="MS Gothic" w:eastAsia="MS Gothic" w:hAnsi="MS Gothic" w:hint="eastAsia"/>
                  </w:rPr>
                  <w:t>☐</w:t>
                </w:r>
              </w:sdtContent>
            </w:sdt>
            <w:r w:rsidR="008F1BD0">
              <w:t xml:space="preserve"> CI – Continuous i</w:t>
            </w:r>
            <w:r w:rsidR="00933007">
              <w:t xml:space="preserve">mprovement </w:t>
            </w:r>
          </w:p>
        </w:tc>
      </w:tr>
    </w:tbl>
    <w:p w:rsidR="00933007" w:rsidRDefault="00933007" w:rsidP="00933007">
      <w:pPr>
        <w:pStyle w:val="NoSpacing"/>
      </w:pPr>
    </w:p>
    <w:tbl>
      <w:tblPr>
        <w:tblStyle w:val="TableGrid"/>
        <w:tblW w:w="0" w:type="auto"/>
        <w:tblLook w:val="04A0" w:firstRow="1" w:lastRow="0" w:firstColumn="1" w:lastColumn="0" w:noHBand="0" w:noVBand="1"/>
      </w:tblPr>
      <w:tblGrid>
        <w:gridCol w:w="14338"/>
      </w:tblGrid>
      <w:tr w:rsidR="00933007" w:rsidTr="000E0334">
        <w:tc>
          <w:tcPr>
            <w:tcW w:w="14338" w:type="dxa"/>
            <w:tcBorders>
              <w:left w:val="nil"/>
              <w:bottom w:val="single" w:sz="4" w:space="0" w:color="auto"/>
              <w:right w:val="nil"/>
            </w:tcBorders>
          </w:tcPr>
          <w:p w:rsidR="006565EF" w:rsidRDefault="00933007" w:rsidP="00BA20A0">
            <w:pPr>
              <w:spacing w:before="60" w:after="60"/>
              <w:rPr>
                <w:b/>
                <w:sz w:val="24"/>
              </w:rPr>
            </w:pPr>
            <w:r w:rsidRPr="003A56D7">
              <w:rPr>
                <w:rStyle w:val="Heading3Char"/>
              </w:rPr>
              <w:t xml:space="preserve">Areas of </w:t>
            </w:r>
            <w:r w:rsidR="008F1BD0" w:rsidRPr="003A56D7">
              <w:rPr>
                <w:rStyle w:val="Heading3Char"/>
              </w:rPr>
              <w:t>co</w:t>
            </w:r>
            <w:r w:rsidRPr="003A56D7">
              <w:rPr>
                <w:rStyle w:val="Heading3Char"/>
              </w:rPr>
              <w:t>mmendation:</w:t>
            </w:r>
            <w:r>
              <w:rPr>
                <w:b/>
                <w:sz w:val="24"/>
              </w:rPr>
              <w:t xml:space="preserve"> </w:t>
            </w:r>
          </w:p>
          <w:p w:rsidR="00F56698" w:rsidRDefault="00F56698" w:rsidP="00BA20A0">
            <w:pPr>
              <w:spacing w:before="60" w:after="60"/>
              <w:rPr>
                <w:sz w:val="24"/>
              </w:rPr>
            </w:pPr>
            <w:r w:rsidRPr="00F56698">
              <w:rPr>
                <w:sz w:val="24"/>
              </w:rPr>
              <w:t xml:space="preserve">The overall </w:t>
            </w:r>
            <w:r>
              <w:rPr>
                <w:sz w:val="24"/>
              </w:rPr>
              <w:t xml:space="preserve">implementation of the core data and its use within the organisation underpins and enhances the implementation of the entirety of the CCDM programme. </w:t>
            </w:r>
          </w:p>
          <w:p w:rsidR="00F56698" w:rsidRDefault="00F56698" w:rsidP="00BA20A0">
            <w:pPr>
              <w:spacing w:before="60" w:after="60"/>
              <w:rPr>
                <w:sz w:val="24"/>
              </w:rPr>
            </w:pPr>
            <w:r>
              <w:rPr>
                <w:sz w:val="24"/>
              </w:rPr>
              <w:t>The visualisation of the core data set through Qlik enables transparency and visibility throughout the organisation.</w:t>
            </w:r>
          </w:p>
          <w:p w:rsidR="00F56698" w:rsidRDefault="00F56698" w:rsidP="00BA20A0">
            <w:pPr>
              <w:spacing w:before="60" w:after="60"/>
              <w:rPr>
                <w:sz w:val="24"/>
              </w:rPr>
            </w:pPr>
            <w:r>
              <w:rPr>
                <w:sz w:val="24"/>
              </w:rPr>
              <w:t>Heat mapping of the core data set to easily identify flags requiring further investigation.</w:t>
            </w:r>
          </w:p>
          <w:p w:rsidR="00F56698" w:rsidRDefault="00F56698" w:rsidP="00BA20A0">
            <w:pPr>
              <w:spacing w:before="60" w:after="60"/>
              <w:rPr>
                <w:sz w:val="24"/>
              </w:rPr>
            </w:pPr>
            <w:r>
              <w:rPr>
                <w:sz w:val="24"/>
              </w:rPr>
              <w:t>The core data set is used from the local data councils to the CCDM Council and beyond to enable quality improvement and evidence based decision making.</w:t>
            </w:r>
          </w:p>
          <w:p w:rsidR="00F56698" w:rsidRDefault="00F56698" w:rsidP="00BA20A0">
            <w:pPr>
              <w:spacing w:before="60" w:after="60"/>
              <w:rPr>
                <w:sz w:val="24"/>
              </w:rPr>
            </w:pPr>
            <w:r>
              <w:rPr>
                <w:sz w:val="24"/>
              </w:rPr>
              <w:t>The core data work stream is using the core data set to identify and understand issue within the wards and organisationally to support FTE calculations.</w:t>
            </w:r>
          </w:p>
          <w:p w:rsidR="00F56698" w:rsidRDefault="00F56698" w:rsidP="00BA20A0">
            <w:pPr>
              <w:spacing w:before="60" w:after="60"/>
              <w:rPr>
                <w:sz w:val="24"/>
              </w:rPr>
            </w:pPr>
            <w:r>
              <w:rPr>
                <w:sz w:val="24"/>
              </w:rPr>
              <w:t xml:space="preserve">The core data set is being used to evidence the ‘Week that Was’ meetings to measure the success of </w:t>
            </w:r>
            <w:r w:rsidR="000F3CB4">
              <w:rPr>
                <w:sz w:val="24"/>
              </w:rPr>
              <w:t xml:space="preserve">the </w:t>
            </w:r>
            <w:r>
              <w:rPr>
                <w:sz w:val="24"/>
              </w:rPr>
              <w:t xml:space="preserve">early </w:t>
            </w:r>
            <w:r w:rsidR="000F3CB4">
              <w:rPr>
                <w:sz w:val="24"/>
              </w:rPr>
              <w:t xml:space="preserve">stages of </w:t>
            </w:r>
            <w:r>
              <w:rPr>
                <w:sz w:val="24"/>
              </w:rPr>
              <w:t>variance response management.</w:t>
            </w:r>
          </w:p>
          <w:p w:rsidR="000F3CB4" w:rsidRDefault="000F3CB4" w:rsidP="00BA20A0">
            <w:pPr>
              <w:spacing w:before="60" w:after="60"/>
              <w:rPr>
                <w:sz w:val="24"/>
              </w:rPr>
            </w:pPr>
            <w:r>
              <w:rPr>
                <w:sz w:val="24"/>
              </w:rPr>
              <w:t>The CCDHB core data set and the way in which it is used is attracting much national attention within the sector and has been showcased at the Qlik conference in Sydney (August 2019), the Learning Collaborative for the CCDM programme and across NZ at various DHBs.</w:t>
            </w:r>
          </w:p>
          <w:p w:rsidR="00933007" w:rsidRPr="00FD4CAC" w:rsidRDefault="00933007" w:rsidP="00BA20A0">
            <w:pPr>
              <w:spacing w:before="60" w:after="60"/>
              <w:rPr>
                <w:b/>
                <w:sz w:val="24"/>
              </w:rPr>
            </w:pPr>
          </w:p>
        </w:tc>
      </w:tr>
      <w:tr w:rsidR="00933007" w:rsidTr="006565EF">
        <w:tc>
          <w:tcPr>
            <w:tcW w:w="14338" w:type="dxa"/>
            <w:tcBorders>
              <w:left w:val="nil"/>
              <w:right w:val="nil"/>
            </w:tcBorders>
            <w:shd w:val="clear" w:color="auto" w:fill="auto"/>
          </w:tcPr>
          <w:p w:rsidR="00933007" w:rsidRDefault="00933007" w:rsidP="00A77E2B">
            <w:pPr>
              <w:spacing w:before="60" w:after="60"/>
              <w:rPr>
                <w:b/>
                <w:sz w:val="24"/>
              </w:rPr>
            </w:pPr>
            <w:r w:rsidRPr="003A56D7">
              <w:rPr>
                <w:rStyle w:val="Heading3Char"/>
              </w:rPr>
              <w:lastRenderedPageBreak/>
              <w:t>Areas for improvement opportunities:</w:t>
            </w:r>
            <w:r w:rsidRPr="006565EF">
              <w:rPr>
                <w:b/>
                <w:sz w:val="24"/>
              </w:rPr>
              <w:t xml:space="preserve"> </w:t>
            </w:r>
          </w:p>
          <w:p w:rsidR="0088322C" w:rsidRPr="000F3CB4" w:rsidRDefault="0088322C" w:rsidP="00A77E2B">
            <w:pPr>
              <w:spacing w:before="60" w:after="60"/>
              <w:rPr>
                <w:sz w:val="24"/>
              </w:rPr>
            </w:pPr>
            <w:r>
              <w:rPr>
                <w:sz w:val="24"/>
              </w:rPr>
              <w:t>Implementation of outstanding metrics as and when nationally available.</w:t>
            </w:r>
          </w:p>
          <w:p w:rsidR="007A0AD7" w:rsidRPr="006565EF" w:rsidRDefault="007A0AD7" w:rsidP="006565EF">
            <w:pPr>
              <w:spacing w:before="60" w:after="60"/>
              <w:rPr>
                <w:sz w:val="24"/>
                <w:highlight w:val="yellow"/>
              </w:rPr>
            </w:pPr>
          </w:p>
        </w:tc>
      </w:tr>
    </w:tbl>
    <w:p w:rsidR="00933007" w:rsidRDefault="00933007" w:rsidP="00933007">
      <w:r>
        <w:br w:type="page"/>
      </w:r>
    </w:p>
    <w:p w:rsidR="00933007" w:rsidRPr="00CE738B" w:rsidRDefault="00933007" w:rsidP="008F1BD0">
      <w:pPr>
        <w:pStyle w:val="Heading2"/>
      </w:pPr>
      <w:r>
        <w:lastRenderedPageBreak/>
        <w:t>Standard 4</w:t>
      </w:r>
      <w:r w:rsidR="00961F09">
        <w:t>.0</w:t>
      </w:r>
      <w:r>
        <w:t xml:space="preserve"> -</w:t>
      </w:r>
      <w:r w:rsidRPr="00CE738B">
        <w:t xml:space="preserve"> Staffing </w:t>
      </w:r>
      <w:r w:rsidR="00961F09">
        <w:t>m</w:t>
      </w:r>
      <w:r w:rsidRPr="00CE738B">
        <w:t xml:space="preserve">ethodology </w:t>
      </w:r>
    </w:p>
    <w:tbl>
      <w:tblPr>
        <w:tblStyle w:val="TableGrid"/>
        <w:tblW w:w="0" w:type="auto"/>
        <w:shd w:val="clear" w:color="auto" w:fill="BFB97F"/>
        <w:tblLook w:val="04A0" w:firstRow="1" w:lastRow="0" w:firstColumn="1" w:lastColumn="0" w:noHBand="0" w:noVBand="1"/>
      </w:tblPr>
      <w:tblGrid>
        <w:gridCol w:w="14283"/>
      </w:tblGrid>
      <w:tr w:rsidR="00933007" w:rsidTr="00352EC3">
        <w:tc>
          <w:tcPr>
            <w:tcW w:w="14283" w:type="dxa"/>
            <w:shd w:val="clear" w:color="auto" w:fill="BFB97F"/>
          </w:tcPr>
          <w:p w:rsidR="00933007" w:rsidRPr="00041F9D" w:rsidRDefault="00933007" w:rsidP="00352EC3">
            <w:pPr>
              <w:rPr>
                <w:rFonts w:cstheme="minorHAnsi"/>
                <w:b/>
              </w:rPr>
            </w:pPr>
            <w:r>
              <w:rPr>
                <w:rFonts w:cstheme="minorHAnsi"/>
                <w:b/>
              </w:rPr>
              <w:t>Standard 4</w:t>
            </w:r>
            <w:r w:rsidRPr="00041F9D">
              <w:rPr>
                <w:rFonts w:cstheme="minorHAnsi"/>
                <w:b/>
              </w:rPr>
              <w:t>.0</w:t>
            </w:r>
          </w:p>
          <w:p w:rsidR="00933007" w:rsidRPr="00041F9D" w:rsidRDefault="00933007" w:rsidP="00352EC3">
            <w:pPr>
              <w:rPr>
                <w:rFonts w:cstheme="minorHAnsi"/>
              </w:rPr>
            </w:pPr>
            <w:r w:rsidRPr="00041F9D">
              <w:rPr>
                <w:rFonts w:cstheme="minorHAnsi"/>
              </w:rPr>
              <w:t xml:space="preserve">A </w:t>
            </w:r>
            <w:r>
              <w:rPr>
                <w:rStyle w:val="BodyTextChar"/>
                <w:rFonts w:asciiTheme="minorHAnsi" w:hAnsiTheme="minorHAnsi" w:cstheme="minorHAnsi"/>
              </w:rPr>
              <w:t xml:space="preserve">systematic </w:t>
            </w:r>
            <w:r w:rsidRPr="00041F9D">
              <w:rPr>
                <w:rStyle w:val="BodyTextChar"/>
                <w:rFonts w:asciiTheme="minorHAnsi" w:hAnsiTheme="minorHAnsi" w:cstheme="minorHAnsi"/>
              </w:rPr>
              <w:t>process</w:t>
            </w:r>
            <w:r w:rsidRPr="00041F9D">
              <w:rPr>
                <w:rFonts w:cstheme="minorHAnsi"/>
              </w:rPr>
              <w:t xml:space="preserve"> is used to establish </w:t>
            </w:r>
            <w:r>
              <w:rPr>
                <w:rFonts w:cstheme="minorHAnsi"/>
              </w:rPr>
              <w:t xml:space="preserve">and budget for </w:t>
            </w:r>
            <w:r w:rsidRPr="00041F9D">
              <w:rPr>
                <w:rFonts w:cstheme="minorHAnsi"/>
              </w:rPr>
              <w:t xml:space="preserve">staffing FTE, staff </w:t>
            </w:r>
            <w:r>
              <w:rPr>
                <w:rFonts w:cstheme="minorHAnsi"/>
              </w:rPr>
              <w:t xml:space="preserve">mix </w:t>
            </w:r>
            <w:r w:rsidRPr="00041F9D">
              <w:rPr>
                <w:rFonts w:cstheme="minorHAnsi"/>
              </w:rPr>
              <w:t xml:space="preserve">and skill mix for to ensure the provision of </w:t>
            </w:r>
            <w:r w:rsidRPr="00041F9D">
              <w:rPr>
                <w:rStyle w:val="BodyTextChar"/>
                <w:rFonts w:asciiTheme="minorHAnsi" w:hAnsiTheme="minorHAnsi" w:cstheme="minorHAnsi"/>
              </w:rPr>
              <w:t>timely, approp</w:t>
            </w:r>
            <w:r>
              <w:rPr>
                <w:rStyle w:val="BodyTextChar"/>
                <w:rFonts w:asciiTheme="minorHAnsi" w:hAnsiTheme="minorHAnsi" w:cstheme="minorHAnsi"/>
              </w:rPr>
              <w:t>riate and safe services.</w:t>
            </w:r>
          </w:p>
        </w:tc>
      </w:tr>
    </w:tbl>
    <w:p w:rsidR="00E80D49" w:rsidRDefault="00933007" w:rsidP="00933007">
      <w:pPr>
        <w:spacing w:before="60"/>
      </w:pPr>
      <w:r w:rsidRPr="00060ECD">
        <w:rPr>
          <w:b/>
        </w:rPr>
        <w:t>Note:</w:t>
      </w:r>
      <w:r>
        <w:t xml:space="preserve"> This standard </w:t>
      </w:r>
      <w:r w:rsidR="00961F09">
        <w:t>excludes Allied</w:t>
      </w:r>
      <w:r>
        <w:t xml:space="preserve"> Health and </w:t>
      </w:r>
      <w:r w:rsidR="007F1935">
        <w:t>c</w:t>
      </w:r>
      <w:r>
        <w:t>ommunity</w:t>
      </w:r>
    </w:p>
    <w:tbl>
      <w:tblPr>
        <w:tblStyle w:val="TableGrid"/>
        <w:tblW w:w="0" w:type="auto"/>
        <w:tblLook w:val="04A0" w:firstRow="1" w:lastRow="0" w:firstColumn="1" w:lastColumn="0" w:noHBand="0" w:noVBand="1"/>
      </w:tblPr>
      <w:tblGrid>
        <w:gridCol w:w="5211"/>
        <w:gridCol w:w="9072"/>
      </w:tblGrid>
      <w:tr w:rsidR="00933007" w:rsidTr="00352EC3">
        <w:trPr>
          <w:tblHeader/>
        </w:trPr>
        <w:tc>
          <w:tcPr>
            <w:tcW w:w="5211" w:type="dxa"/>
            <w:shd w:val="clear" w:color="auto" w:fill="BFB97F"/>
          </w:tcPr>
          <w:p w:rsidR="00933007" w:rsidRPr="00933007" w:rsidRDefault="00933007" w:rsidP="000E0334">
            <w:pPr>
              <w:pStyle w:val="NoSpacing"/>
              <w:rPr>
                <w:b/>
                <w:sz w:val="22"/>
              </w:rPr>
            </w:pPr>
            <w:r w:rsidRPr="00933007">
              <w:rPr>
                <w:b/>
                <w:sz w:val="22"/>
              </w:rPr>
              <w:t>Criteria</w:t>
            </w:r>
          </w:p>
        </w:tc>
        <w:tc>
          <w:tcPr>
            <w:tcW w:w="9072" w:type="dxa"/>
            <w:tcBorders>
              <w:bottom w:val="single" w:sz="4" w:space="0" w:color="auto"/>
            </w:tcBorders>
            <w:shd w:val="clear" w:color="auto" w:fill="BFB97F"/>
          </w:tcPr>
          <w:p w:rsidR="00933007" w:rsidRPr="00235BBD" w:rsidRDefault="00933007" w:rsidP="007F1935">
            <w:pPr>
              <w:pStyle w:val="NoSpacing"/>
              <w:rPr>
                <w:sz w:val="22"/>
              </w:rPr>
            </w:pPr>
            <w:r w:rsidRPr="00235BBD">
              <w:rPr>
                <w:sz w:val="22"/>
              </w:rPr>
              <w:t xml:space="preserve">Evidence (use standards guidance) expectation is to see evidence at Executive / </w:t>
            </w:r>
            <w:r w:rsidR="007F1935">
              <w:rPr>
                <w:sz w:val="22"/>
              </w:rPr>
              <w:t>d</w:t>
            </w:r>
            <w:r w:rsidRPr="00235BBD">
              <w:rPr>
                <w:sz w:val="22"/>
              </w:rPr>
              <w:t xml:space="preserve">irectorate and </w:t>
            </w:r>
            <w:r w:rsidR="007F1935">
              <w:rPr>
                <w:sz w:val="22"/>
              </w:rPr>
              <w:t>w</w:t>
            </w:r>
            <w:r w:rsidRPr="00235BBD">
              <w:rPr>
                <w:sz w:val="22"/>
              </w:rPr>
              <w:t>ard level</w:t>
            </w:r>
          </w:p>
        </w:tc>
      </w:tr>
      <w:tr w:rsidR="00933007" w:rsidTr="00352EC3">
        <w:trPr>
          <w:trHeight w:val="906"/>
        </w:trPr>
        <w:tc>
          <w:tcPr>
            <w:tcW w:w="5211" w:type="dxa"/>
            <w:shd w:val="clear" w:color="auto" w:fill="E6E4CC"/>
          </w:tcPr>
          <w:p w:rsidR="00933007" w:rsidRPr="0045709B" w:rsidRDefault="00933007" w:rsidP="00235BBD">
            <w:pPr>
              <w:pStyle w:val="NoSpacing"/>
              <w:numPr>
                <w:ilvl w:val="0"/>
                <w:numId w:val="13"/>
              </w:numPr>
              <w:spacing w:line="276" w:lineRule="auto"/>
              <w:ind w:left="426" w:hanging="426"/>
              <w:jc w:val="left"/>
            </w:pPr>
            <w:r w:rsidRPr="0045709B">
              <w:t>The organisation has</w:t>
            </w:r>
            <w:r>
              <w:t xml:space="preserve"> staffing budget setting</w:t>
            </w:r>
            <w:r w:rsidRPr="0045709B">
              <w:t xml:space="preserve"> procedures in place that are reviewed annually by the CCDM </w:t>
            </w:r>
            <w:r w:rsidR="00235BBD">
              <w:t>c</w:t>
            </w:r>
            <w:r w:rsidRPr="0045709B">
              <w:t>ouncil.</w:t>
            </w:r>
          </w:p>
        </w:tc>
        <w:tc>
          <w:tcPr>
            <w:tcW w:w="9072" w:type="dxa"/>
            <w:shd w:val="clear" w:color="auto" w:fill="auto"/>
          </w:tcPr>
          <w:p w:rsidR="00933007" w:rsidRPr="00460AE6" w:rsidRDefault="000E0334" w:rsidP="009817DD">
            <w:pPr>
              <w:pStyle w:val="ListParagraph"/>
              <w:numPr>
                <w:ilvl w:val="0"/>
                <w:numId w:val="25"/>
              </w:numPr>
              <w:rPr>
                <w:sz w:val="20"/>
                <w:szCs w:val="20"/>
              </w:rPr>
            </w:pPr>
            <w:r>
              <w:rPr>
                <w:sz w:val="20"/>
                <w:szCs w:val="20"/>
              </w:rPr>
              <w:t>The FTE calculation process has a clear and measured timeline with a standard operating procedure.</w:t>
            </w:r>
          </w:p>
          <w:p w:rsidR="009817DD" w:rsidRPr="00460AE6" w:rsidRDefault="009817DD" w:rsidP="009817DD">
            <w:pPr>
              <w:pStyle w:val="ListParagraph"/>
              <w:numPr>
                <w:ilvl w:val="0"/>
                <w:numId w:val="25"/>
              </w:numPr>
              <w:rPr>
                <w:sz w:val="20"/>
                <w:szCs w:val="20"/>
              </w:rPr>
            </w:pPr>
            <w:r w:rsidRPr="00460AE6">
              <w:rPr>
                <w:sz w:val="20"/>
                <w:szCs w:val="20"/>
              </w:rPr>
              <w:t>The DHB has an annual budget setting cycle that currently sits outside of the CCDM staffing methodology</w:t>
            </w:r>
            <w:r w:rsidR="00253B28" w:rsidRPr="00460AE6">
              <w:rPr>
                <w:sz w:val="20"/>
                <w:szCs w:val="20"/>
              </w:rPr>
              <w:t>.</w:t>
            </w:r>
          </w:p>
        </w:tc>
      </w:tr>
      <w:tr w:rsidR="00933007" w:rsidTr="00352EC3">
        <w:trPr>
          <w:trHeight w:val="1207"/>
        </w:trPr>
        <w:tc>
          <w:tcPr>
            <w:tcW w:w="5211" w:type="dxa"/>
            <w:shd w:val="clear" w:color="auto" w:fill="E6E4CC"/>
          </w:tcPr>
          <w:p w:rsidR="00933007" w:rsidRPr="0045709B" w:rsidRDefault="00933007" w:rsidP="00933007">
            <w:pPr>
              <w:pStyle w:val="NoSpacing"/>
              <w:numPr>
                <w:ilvl w:val="0"/>
                <w:numId w:val="13"/>
              </w:numPr>
              <w:spacing w:line="276" w:lineRule="auto"/>
              <w:ind w:left="426" w:hanging="426"/>
              <w:jc w:val="left"/>
            </w:pPr>
            <w:r w:rsidRPr="0045709B">
              <w:t>The organisation uses the CCDM staffing methodology to establish staffing numbers</w:t>
            </w:r>
            <w:r>
              <w:t>,</w:t>
            </w:r>
            <w:r w:rsidRPr="0045709B">
              <w:t xml:space="preserve"> </w:t>
            </w:r>
            <w:r>
              <w:t xml:space="preserve">staff </w:t>
            </w:r>
            <w:r w:rsidRPr="0045709B">
              <w:t xml:space="preserve">and </w:t>
            </w:r>
            <w:r>
              <w:t>skill</w:t>
            </w:r>
            <w:r w:rsidRPr="0045709B">
              <w:t xml:space="preserve"> mix for each ward/unit that uses a validated patient acuity system.</w:t>
            </w:r>
          </w:p>
        </w:tc>
        <w:tc>
          <w:tcPr>
            <w:tcW w:w="9072" w:type="dxa"/>
            <w:shd w:val="clear" w:color="auto" w:fill="auto"/>
          </w:tcPr>
          <w:p w:rsidR="00917C95" w:rsidRPr="00917C95" w:rsidRDefault="00917C95" w:rsidP="00917C95">
            <w:pPr>
              <w:pStyle w:val="ListParagraph"/>
              <w:numPr>
                <w:ilvl w:val="0"/>
                <w:numId w:val="26"/>
              </w:numPr>
              <w:rPr>
                <w:sz w:val="20"/>
                <w:szCs w:val="20"/>
              </w:rPr>
            </w:pPr>
            <w:r w:rsidRPr="00460AE6">
              <w:rPr>
                <w:sz w:val="20"/>
                <w:szCs w:val="20"/>
              </w:rPr>
              <w:t>TrendCare data is checked monthly for data accuracy against the CCDM quality checks.</w:t>
            </w:r>
          </w:p>
          <w:p w:rsidR="00F80A73" w:rsidRDefault="000E0334" w:rsidP="00F80A73">
            <w:pPr>
              <w:pStyle w:val="ListParagraph"/>
              <w:numPr>
                <w:ilvl w:val="0"/>
                <w:numId w:val="26"/>
              </w:numPr>
              <w:rPr>
                <w:sz w:val="20"/>
                <w:szCs w:val="20"/>
              </w:rPr>
            </w:pPr>
            <w:r>
              <w:rPr>
                <w:sz w:val="20"/>
                <w:szCs w:val="20"/>
              </w:rPr>
              <w:t>FTE calculations for 5 of the first 6 wards were repeated due to a delay in progressing the requirement.  This delay was due to further understanding of the methodology and further data analysis of some areas being required.</w:t>
            </w:r>
          </w:p>
          <w:p w:rsidR="000E0334" w:rsidRDefault="000E0334" w:rsidP="00F80A73">
            <w:pPr>
              <w:pStyle w:val="ListParagraph"/>
              <w:numPr>
                <w:ilvl w:val="0"/>
                <w:numId w:val="26"/>
              </w:numPr>
              <w:rPr>
                <w:sz w:val="20"/>
                <w:szCs w:val="20"/>
              </w:rPr>
            </w:pPr>
            <w:r>
              <w:rPr>
                <w:sz w:val="20"/>
                <w:szCs w:val="20"/>
              </w:rPr>
              <w:t>A margin of error document was completed for all TrendCare using wards as of January 2020 to assess the risk of all areas of undertaking FTE calculations.  FTE calculations are progressing for 16 wards.</w:t>
            </w:r>
          </w:p>
          <w:p w:rsidR="00917C95" w:rsidRPr="00917C95" w:rsidRDefault="00917C95" w:rsidP="00917C95">
            <w:pPr>
              <w:pStyle w:val="ListParagraph"/>
              <w:numPr>
                <w:ilvl w:val="0"/>
                <w:numId w:val="26"/>
              </w:numPr>
              <w:rPr>
                <w:sz w:val="20"/>
                <w:szCs w:val="20"/>
              </w:rPr>
            </w:pPr>
            <w:r>
              <w:rPr>
                <w:sz w:val="20"/>
                <w:szCs w:val="20"/>
              </w:rPr>
              <w:t>Business cases to support FTE calculations are no longer required.  FTE calculations are progressing with a multi ward report and a recruitment business case.</w:t>
            </w:r>
          </w:p>
          <w:p w:rsidR="00253B28" w:rsidRPr="00460AE6" w:rsidRDefault="009817DD" w:rsidP="00253B28">
            <w:pPr>
              <w:pStyle w:val="ListParagraph"/>
              <w:numPr>
                <w:ilvl w:val="0"/>
                <w:numId w:val="26"/>
              </w:numPr>
              <w:rPr>
                <w:sz w:val="20"/>
                <w:szCs w:val="20"/>
              </w:rPr>
            </w:pPr>
            <w:r w:rsidRPr="00460AE6">
              <w:rPr>
                <w:sz w:val="20"/>
                <w:szCs w:val="20"/>
              </w:rPr>
              <w:t xml:space="preserve">Areas with a high margin of error for TrendCare accuracy are </w:t>
            </w:r>
            <w:r w:rsidR="00253B28" w:rsidRPr="00460AE6">
              <w:rPr>
                <w:sz w:val="20"/>
                <w:szCs w:val="20"/>
              </w:rPr>
              <w:t>further investigated</w:t>
            </w:r>
            <w:r w:rsidRPr="00460AE6">
              <w:rPr>
                <w:sz w:val="20"/>
                <w:szCs w:val="20"/>
              </w:rPr>
              <w:t xml:space="preserve"> and improvement plans put in place</w:t>
            </w:r>
            <w:r w:rsidR="00253B28" w:rsidRPr="00460AE6">
              <w:rPr>
                <w:sz w:val="20"/>
                <w:szCs w:val="20"/>
              </w:rPr>
              <w:t xml:space="preserve"> to address areas of concern.</w:t>
            </w:r>
          </w:p>
          <w:p w:rsidR="009817DD" w:rsidRPr="00460AE6" w:rsidRDefault="009817DD" w:rsidP="009817DD">
            <w:pPr>
              <w:pStyle w:val="ListParagraph"/>
              <w:numPr>
                <w:ilvl w:val="0"/>
                <w:numId w:val="26"/>
              </w:numPr>
              <w:rPr>
                <w:sz w:val="20"/>
                <w:szCs w:val="20"/>
              </w:rPr>
            </w:pPr>
            <w:r w:rsidRPr="00460AE6">
              <w:rPr>
                <w:sz w:val="20"/>
                <w:szCs w:val="20"/>
              </w:rPr>
              <w:t xml:space="preserve">No FTE calculation to date has been fully implemented. </w:t>
            </w:r>
            <w:r w:rsidR="00917C95">
              <w:rPr>
                <w:sz w:val="20"/>
                <w:szCs w:val="20"/>
              </w:rPr>
              <w:t>8 wards have had approval from CCDM Council to proceed.  16 FTE calculations are planned to be completed by the end of June 2020.</w:t>
            </w:r>
          </w:p>
          <w:p w:rsidR="009817DD" w:rsidRPr="008F5B0B" w:rsidRDefault="008F5B0B" w:rsidP="009817DD">
            <w:pPr>
              <w:pStyle w:val="ListParagraph"/>
              <w:numPr>
                <w:ilvl w:val="0"/>
                <w:numId w:val="26"/>
              </w:numPr>
              <w:rPr>
                <w:sz w:val="20"/>
                <w:szCs w:val="20"/>
              </w:rPr>
            </w:pPr>
            <w:r>
              <w:rPr>
                <w:sz w:val="20"/>
                <w:szCs w:val="20"/>
              </w:rPr>
              <w:t xml:space="preserve">Further ‘check points’ </w:t>
            </w:r>
            <w:r w:rsidR="00917C95">
              <w:rPr>
                <w:sz w:val="20"/>
                <w:szCs w:val="20"/>
              </w:rPr>
              <w:t>have been</w:t>
            </w:r>
            <w:r>
              <w:rPr>
                <w:sz w:val="20"/>
                <w:szCs w:val="20"/>
              </w:rPr>
              <w:t xml:space="preserve"> implemented to ensure a smoother process for FTE calculations </w:t>
            </w:r>
            <w:r w:rsidR="00917C95">
              <w:rPr>
                <w:sz w:val="20"/>
                <w:szCs w:val="20"/>
              </w:rPr>
              <w:t>which has been successful.</w:t>
            </w:r>
          </w:p>
          <w:p w:rsidR="009817DD" w:rsidRDefault="009817DD" w:rsidP="002605E9">
            <w:pPr>
              <w:pStyle w:val="ListParagraph"/>
              <w:numPr>
                <w:ilvl w:val="0"/>
                <w:numId w:val="26"/>
              </w:numPr>
              <w:rPr>
                <w:sz w:val="20"/>
                <w:szCs w:val="20"/>
              </w:rPr>
            </w:pPr>
            <w:r w:rsidRPr="00460AE6">
              <w:rPr>
                <w:sz w:val="20"/>
                <w:szCs w:val="20"/>
              </w:rPr>
              <w:t xml:space="preserve">Roster models have been completed for </w:t>
            </w:r>
            <w:r w:rsidR="002605E9" w:rsidRPr="00460AE6">
              <w:rPr>
                <w:sz w:val="20"/>
                <w:szCs w:val="20"/>
              </w:rPr>
              <w:t>all FTE</w:t>
            </w:r>
            <w:r w:rsidRPr="00460AE6">
              <w:rPr>
                <w:sz w:val="20"/>
                <w:szCs w:val="20"/>
              </w:rPr>
              <w:t xml:space="preserve"> </w:t>
            </w:r>
            <w:r w:rsidR="00C1197D" w:rsidRPr="00460AE6">
              <w:rPr>
                <w:sz w:val="20"/>
                <w:szCs w:val="20"/>
              </w:rPr>
              <w:t>calculations</w:t>
            </w:r>
            <w:r w:rsidR="002605E9" w:rsidRPr="00460AE6">
              <w:rPr>
                <w:sz w:val="20"/>
                <w:szCs w:val="20"/>
              </w:rPr>
              <w:t>.</w:t>
            </w:r>
          </w:p>
          <w:p w:rsidR="00807ABC" w:rsidRPr="00460AE6" w:rsidRDefault="00807ABC" w:rsidP="002605E9">
            <w:pPr>
              <w:pStyle w:val="ListParagraph"/>
              <w:numPr>
                <w:ilvl w:val="0"/>
                <w:numId w:val="26"/>
              </w:numPr>
              <w:rPr>
                <w:sz w:val="20"/>
                <w:szCs w:val="20"/>
              </w:rPr>
            </w:pPr>
            <w:r>
              <w:rPr>
                <w:sz w:val="20"/>
                <w:szCs w:val="20"/>
              </w:rPr>
              <w:t>The required Covid response has had an impact on the timeline for this work.  However, time has been made up and FTE calculations for all agreed areas will be completed by the end of June 2020.</w:t>
            </w:r>
          </w:p>
        </w:tc>
      </w:tr>
      <w:tr w:rsidR="00933007" w:rsidTr="00352EC3">
        <w:trPr>
          <w:trHeight w:val="789"/>
        </w:trPr>
        <w:tc>
          <w:tcPr>
            <w:tcW w:w="5211" w:type="dxa"/>
            <w:shd w:val="clear" w:color="auto" w:fill="E6E4CC"/>
          </w:tcPr>
          <w:p w:rsidR="00933007" w:rsidRPr="0045709B" w:rsidRDefault="00933007" w:rsidP="00933007">
            <w:pPr>
              <w:pStyle w:val="NoSpacing"/>
              <w:numPr>
                <w:ilvl w:val="0"/>
                <w:numId w:val="13"/>
              </w:numPr>
              <w:spacing w:line="276" w:lineRule="auto"/>
              <w:ind w:left="426" w:hanging="426"/>
              <w:jc w:val="left"/>
            </w:pPr>
            <w:r w:rsidRPr="0045709B">
              <w:t>Budget holders are involved annually in setting the roster model, FTE and budget.</w:t>
            </w:r>
          </w:p>
        </w:tc>
        <w:tc>
          <w:tcPr>
            <w:tcW w:w="9072" w:type="dxa"/>
            <w:shd w:val="clear" w:color="auto" w:fill="auto"/>
          </w:tcPr>
          <w:p w:rsidR="00933007" w:rsidRPr="00460AE6" w:rsidRDefault="009817DD" w:rsidP="009817DD">
            <w:pPr>
              <w:pStyle w:val="ListParagraph"/>
              <w:numPr>
                <w:ilvl w:val="0"/>
                <w:numId w:val="27"/>
              </w:numPr>
              <w:rPr>
                <w:sz w:val="20"/>
                <w:szCs w:val="20"/>
              </w:rPr>
            </w:pPr>
            <w:r w:rsidRPr="00460AE6">
              <w:rPr>
                <w:sz w:val="20"/>
                <w:szCs w:val="20"/>
              </w:rPr>
              <w:t>Ward managers, union organisers/PNA’s, deleg</w:t>
            </w:r>
            <w:r w:rsidR="00C1197D" w:rsidRPr="00460AE6">
              <w:rPr>
                <w:sz w:val="20"/>
                <w:szCs w:val="20"/>
              </w:rPr>
              <w:t xml:space="preserve">ates, </w:t>
            </w:r>
            <w:r w:rsidR="00917C95">
              <w:rPr>
                <w:sz w:val="20"/>
                <w:szCs w:val="20"/>
              </w:rPr>
              <w:t>general</w:t>
            </w:r>
            <w:r w:rsidR="00C1197D" w:rsidRPr="00460AE6">
              <w:rPr>
                <w:sz w:val="20"/>
                <w:szCs w:val="20"/>
              </w:rPr>
              <w:t xml:space="preserve"> managers and </w:t>
            </w:r>
            <w:r w:rsidR="00917C95">
              <w:rPr>
                <w:sz w:val="20"/>
                <w:szCs w:val="20"/>
              </w:rPr>
              <w:t>DON/Ms</w:t>
            </w:r>
            <w:r w:rsidRPr="00460AE6">
              <w:rPr>
                <w:sz w:val="20"/>
                <w:szCs w:val="20"/>
              </w:rPr>
              <w:t xml:space="preserve"> are all involved in the staffing methodology</w:t>
            </w:r>
            <w:r w:rsidR="002605E9" w:rsidRPr="00460AE6">
              <w:rPr>
                <w:sz w:val="20"/>
                <w:szCs w:val="20"/>
              </w:rPr>
              <w:t xml:space="preserve"> process</w:t>
            </w:r>
            <w:r w:rsidR="00C1197D" w:rsidRPr="00460AE6">
              <w:rPr>
                <w:sz w:val="20"/>
                <w:szCs w:val="20"/>
              </w:rPr>
              <w:t xml:space="preserve"> </w:t>
            </w:r>
            <w:r w:rsidRPr="00460AE6">
              <w:rPr>
                <w:sz w:val="20"/>
                <w:szCs w:val="20"/>
              </w:rPr>
              <w:t>to develop the roster model for each area.</w:t>
            </w:r>
          </w:p>
          <w:p w:rsidR="00F80A73" w:rsidRPr="00F80A73" w:rsidRDefault="00C1197D" w:rsidP="008F5B0B">
            <w:pPr>
              <w:pStyle w:val="ListParagraph"/>
              <w:numPr>
                <w:ilvl w:val="0"/>
                <w:numId w:val="27"/>
              </w:numPr>
              <w:rPr>
                <w:sz w:val="20"/>
                <w:szCs w:val="20"/>
              </w:rPr>
            </w:pPr>
            <w:r w:rsidRPr="008F5B0B">
              <w:rPr>
                <w:sz w:val="20"/>
                <w:szCs w:val="20"/>
              </w:rPr>
              <w:lastRenderedPageBreak/>
              <w:t xml:space="preserve">Executive directors and </w:t>
            </w:r>
            <w:r w:rsidR="002605E9" w:rsidRPr="008F5B0B">
              <w:rPr>
                <w:sz w:val="20"/>
                <w:szCs w:val="20"/>
              </w:rPr>
              <w:t xml:space="preserve">the </w:t>
            </w:r>
            <w:r w:rsidR="008F5B0B">
              <w:rPr>
                <w:sz w:val="20"/>
                <w:szCs w:val="20"/>
              </w:rPr>
              <w:t>chief nursing officer</w:t>
            </w:r>
            <w:r w:rsidRPr="008F5B0B">
              <w:rPr>
                <w:sz w:val="20"/>
                <w:szCs w:val="20"/>
              </w:rPr>
              <w:t xml:space="preserve"> </w:t>
            </w:r>
            <w:r w:rsidR="00F80A73" w:rsidRPr="008F5B0B">
              <w:rPr>
                <w:sz w:val="20"/>
                <w:szCs w:val="20"/>
              </w:rPr>
              <w:t>have been provided with further education around FTE calculations and staffing methodology software</w:t>
            </w:r>
            <w:r w:rsidR="008F5B0B">
              <w:rPr>
                <w:sz w:val="20"/>
                <w:szCs w:val="20"/>
              </w:rPr>
              <w:t>.  This will also be provided to mental health leaders as we progress with FTE calculations in this directorate later in the programme.</w:t>
            </w:r>
            <w:r w:rsidR="00F80A73">
              <w:rPr>
                <w:sz w:val="20"/>
                <w:szCs w:val="20"/>
              </w:rPr>
              <w:t xml:space="preserve"> </w:t>
            </w:r>
          </w:p>
        </w:tc>
      </w:tr>
      <w:tr w:rsidR="00933007" w:rsidTr="00352EC3">
        <w:trPr>
          <w:trHeight w:val="789"/>
        </w:trPr>
        <w:tc>
          <w:tcPr>
            <w:tcW w:w="5211" w:type="dxa"/>
            <w:shd w:val="clear" w:color="auto" w:fill="E6E4CC"/>
          </w:tcPr>
          <w:p w:rsidR="00933007" w:rsidRPr="0045709B" w:rsidRDefault="00933007" w:rsidP="00460AE6">
            <w:pPr>
              <w:pStyle w:val="NoSpacing"/>
              <w:numPr>
                <w:ilvl w:val="0"/>
                <w:numId w:val="13"/>
              </w:numPr>
              <w:spacing w:line="276" w:lineRule="auto"/>
              <w:jc w:val="left"/>
            </w:pPr>
            <w:r w:rsidRPr="0045709B">
              <w:lastRenderedPageBreak/>
              <w:t xml:space="preserve">The roster model provides the best match of staffing to patient demand. </w:t>
            </w:r>
          </w:p>
        </w:tc>
        <w:tc>
          <w:tcPr>
            <w:tcW w:w="9072" w:type="dxa"/>
            <w:shd w:val="clear" w:color="auto" w:fill="auto"/>
          </w:tcPr>
          <w:p w:rsidR="00933007" w:rsidRPr="00460AE6" w:rsidRDefault="00C1197D" w:rsidP="00460AE6">
            <w:pPr>
              <w:pStyle w:val="ListParagraph"/>
              <w:numPr>
                <w:ilvl w:val="0"/>
                <w:numId w:val="28"/>
              </w:numPr>
              <w:rPr>
                <w:sz w:val="20"/>
                <w:szCs w:val="20"/>
              </w:rPr>
            </w:pPr>
            <w:r w:rsidRPr="00460AE6">
              <w:rPr>
                <w:sz w:val="20"/>
                <w:szCs w:val="20"/>
              </w:rPr>
              <w:t>In the completed calculations the roster model has been adapted to maintain the best match for demand versus capacity. No roster model has yet been implemented as noted above.</w:t>
            </w:r>
          </w:p>
        </w:tc>
      </w:tr>
      <w:tr w:rsidR="00933007" w:rsidTr="00352EC3">
        <w:trPr>
          <w:trHeight w:val="789"/>
        </w:trPr>
        <w:tc>
          <w:tcPr>
            <w:tcW w:w="5211" w:type="dxa"/>
            <w:shd w:val="clear" w:color="auto" w:fill="E6E4CC"/>
          </w:tcPr>
          <w:p w:rsidR="00933007" w:rsidRPr="0045709B" w:rsidRDefault="00933007" w:rsidP="00460AE6">
            <w:pPr>
              <w:pStyle w:val="NoSpacing"/>
              <w:numPr>
                <w:ilvl w:val="0"/>
                <w:numId w:val="13"/>
              </w:numPr>
              <w:spacing w:line="276" w:lineRule="auto"/>
              <w:jc w:val="left"/>
            </w:pPr>
            <w:r w:rsidRPr="0045709B">
              <w:t xml:space="preserve">The organisation regularly evaluates the </w:t>
            </w:r>
            <w:r>
              <w:t>adequacy of staffing levels/</w:t>
            </w:r>
            <w:r w:rsidRPr="0045709B">
              <w:t>mix and acts on the findings.</w:t>
            </w:r>
          </w:p>
        </w:tc>
        <w:tc>
          <w:tcPr>
            <w:tcW w:w="9072" w:type="dxa"/>
            <w:shd w:val="clear" w:color="auto" w:fill="auto"/>
          </w:tcPr>
          <w:p w:rsidR="00933007" w:rsidRPr="00460AE6" w:rsidRDefault="00C1197D" w:rsidP="00460AE6">
            <w:pPr>
              <w:pStyle w:val="ListParagraph"/>
              <w:numPr>
                <w:ilvl w:val="0"/>
                <w:numId w:val="28"/>
              </w:numPr>
              <w:rPr>
                <w:sz w:val="20"/>
                <w:szCs w:val="20"/>
              </w:rPr>
            </w:pPr>
            <w:r w:rsidRPr="00460AE6">
              <w:rPr>
                <w:sz w:val="20"/>
                <w:szCs w:val="20"/>
              </w:rPr>
              <w:t>Acuity based staffing is yet to be formally implemented in the organisation.</w:t>
            </w:r>
          </w:p>
        </w:tc>
      </w:tr>
    </w:tbl>
    <w:p w:rsidR="00933007" w:rsidRDefault="00933007" w:rsidP="00933007">
      <w:pPr>
        <w:pStyle w:val="NoSpacing"/>
      </w:pPr>
    </w:p>
    <w:tbl>
      <w:tblPr>
        <w:tblStyle w:val="TableGrid"/>
        <w:tblW w:w="0" w:type="auto"/>
        <w:tblLook w:val="04A0" w:firstRow="1" w:lastRow="0" w:firstColumn="1" w:lastColumn="0" w:noHBand="0" w:noVBand="1"/>
      </w:tblPr>
      <w:tblGrid>
        <w:gridCol w:w="3510"/>
        <w:gridCol w:w="4111"/>
        <w:gridCol w:w="3260"/>
        <w:gridCol w:w="3402"/>
      </w:tblGrid>
      <w:tr w:rsidR="00933007" w:rsidRPr="00826170" w:rsidTr="00352EC3">
        <w:tc>
          <w:tcPr>
            <w:tcW w:w="14283" w:type="dxa"/>
            <w:gridSpan w:val="4"/>
            <w:shd w:val="clear" w:color="auto" w:fill="BFB97F"/>
          </w:tcPr>
          <w:p w:rsidR="00933007" w:rsidRPr="00826170" w:rsidRDefault="00933007" w:rsidP="000E0334">
            <w:pPr>
              <w:pStyle w:val="NoSpacing"/>
              <w:spacing w:before="60" w:after="60"/>
            </w:pPr>
            <w:r w:rsidRPr="00826170">
              <w:t xml:space="preserve">Standard overall attainment </w:t>
            </w:r>
          </w:p>
        </w:tc>
      </w:tr>
      <w:tr w:rsidR="00933007" w:rsidTr="000E0334">
        <w:tc>
          <w:tcPr>
            <w:tcW w:w="3510" w:type="dxa"/>
            <w:shd w:val="clear" w:color="auto" w:fill="auto"/>
          </w:tcPr>
          <w:p w:rsidR="00933007" w:rsidRDefault="002749DA" w:rsidP="000E0334">
            <w:pPr>
              <w:pStyle w:val="NoSpacing"/>
              <w:spacing w:before="60" w:after="60"/>
            </w:pPr>
            <w:sdt>
              <w:sdtPr>
                <w:id w:val="-723212405"/>
                <w14:checkbox>
                  <w14:checked w14:val="0"/>
                  <w14:checkedState w14:val="2612" w14:font="MS Gothic"/>
                  <w14:uncheckedState w14:val="2610" w14:font="MS Gothic"/>
                </w14:checkbox>
              </w:sdtPr>
              <w:sdtEndPr/>
              <w:sdtContent>
                <w:r w:rsidR="00933007">
                  <w:rPr>
                    <w:rFonts w:ascii="MS Gothic" w:eastAsia="MS Gothic" w:hint="eastAsia"/>
                  </w:rPr>
                  <w:t>☐</w:t>
                </w:r>
              </w:sdtContent>
            </w:sdt>
            <w:r w:rsidR="00933007">
              <w:t xml:space="preserve"> NA – Not attained</w:t>
            </w:r>
          </w:p>
        </w:tc>
        <w:tc>
          <w:tcPr>
            <w:tcW w:w="4111" w:type="dxa"/>
            <w:shd w:val="clear" w:color="auto" w:fill="auto"/>
          </w:tcPr>
          <w:p w:rsidR="00933007" w:rsidRDefault="002749DA" w:rsidP="000E0334">
            <w:pPr>
              <w:pStyle w:val="NoSpacing"/>
              <w:spacing w:before="60" w:after="60"/>
            </w:pPr>
            <w:sdt>
              <w:sdtPr>
                <w:id w:val="-204406769"/>
                <w14:checkbox>
                  <w14:checked w14:val="1"/>
                  <w14:checkedState w14:val="2612" w14:font="MS Gothic"/>
                  <w14:uncheckedState w14:val="2610" w14:font="MS Gothic"/>
                </w14:checkbox>
              </w:sdtPr>
              <w:sdtEndPr/>
              <w:sdtContent>
                <w:r w:rsidR="00700D15">
                  <w:rPr>
                    <w:rFonts w:ascii="MS Gothic" w:eastAsia="MS Gothic" w:hAnsi="MS Gothic" w:hint="eastAsia"/>
                  </w:rPr>
                  <w:t>☒</w:t>
                </w:r>
              </w:sdtContent>
            </w:sdt>
            <w:r w:rsidR="00933007">
              <w:t xml:space="preserve"> PA – Partially attained </w:t>
            </w:r>
          </w:p>
        </w:tc>
        <w:tc>
          <w:tcPr>
            <w:tcW w:w="3260" w:type="dxa"/>
            <w:shd w:val="clear" w:color="auto" w:fill="auto"/>
          </w:tcPr>
          <w:p w:rsidR="00933007" w:rsidRDefault="002749DA" w:rsidP="000E0334">
            <w:pPr>
              <w:pStyle w:val="NoSpacing"/>
              <w:spacing w:before="60" w:after="60"/>
            </w:pPr>
            <w:sdt>
              <w:sdtPr>
                <w:id w:val="-1765225738"/>
                <w14:checkbox>
                  <w14:checked w14:val="0"/>
                  <w14:checkedState w14:val="2612" w14:font="MS Gothic"/>
                  <w14:uncheckedState w14:val="2610" w14:font="MS Gothic"/>
                </w14:checkbox>
              </w:sdtPr>
              <w:sdtEndPr/>
              <w:sdtContent>
                <w:r w:rsidR="00933007">
                  <w:rPr>
                    <w:rFonts w:ascii="MS Gothic" w:eastAsia="MS Gothic" w:hAnsi="MS Gothic" w:hint="eastAsia"/>
                  </w:rPr>
                  <w:t>☐</w:t>
                </w:r>
              </w:sdtContent>
            </w:sdt>
            <w:r w:rsidR="00933007">
              <w:t xml:space="preserve"> FA – Fully attained</w:t>
            </w:r>
          </w:p>
        </w:tc>
        <w:tc>
          <w:tcPr>
            <w:tcW w:w="3402" w:type="dxa"/>
            <w:shd w:val="clear" w:color="auto" w:fill="auto"/>
          </w:tcPr>
          <w:p w:rsidR="00933007" w:rsidRDefault="002749DA" w:rsidP="000E0334">
            <w:pPr>
              <w:pStyle w:val="NoSpacing"/>
              <w:spacing w:before="60" w:after="60"/>
            </w:pPr>
            <w:sdt>
              <w:sdtPr>
                <w:id w:val="-1793435181"/>
                <w14:checkbox>
                  <w14:checked w14:val="0"/>
                  <w14:checkedState w14:val="2612" w14:font="MS Gothic"/>
                  <w14:uncheckedState w14:val="2610" w14:font="MS Gothic"/>
                </w14:checkbox>
              </w:sdtPr>
              <w:sdtEndPr/>
              <w:sdtContent>
                <w:r w:rsidR="00933007">
                  <w:rPr>
                    <w:rFonts w:ascii="MS Gothic" w:eastAsia="MS Gothic" w:hAnsi="MS Gothic" w:hint="eastAsia"/>
                  </w:rPr>
                  <w:t>☐</w:t>
                </w:r>
              </w:sdtContent>
            </w:sdt>
            <w:r w:rsidR="008F1BD0">
              <w:t xml:space="preserve"> CI – Continuous i</w:t>
            </w:r>
            <w:r w:rsidR="00933007">
              <w:t xml:space="preserve">mprovement </w:t>
            </w:r>
          </w:p>
        </w:tc>
      </w:tr>
    </w:tbl>
    <w:p w:rsidR="00933007" w:rsidRDefault="00933007" w:rsidP="00933007">
      <w:pPr>
        <w:pStyle w:val="NoSpacing"/>
      </w:pPr>
    </w:p>
    <w:tbl>
      <w:tblPr>
        <w:tblStyle w:val="TableGrid"/>
        <w:tblW w:w="0" w:type="auto"/>
        <w:tblLook w:val="04A0" w:firstRow="1" w:lastRow="0" w:firstColumn="1" w:lastColumn="0" w:noHBand="0" w:noVBand="1"/>
      </w:tblPr>
      <w:tblGrid>
        <w:gridCol w:w="14338"/>
      </w:tblGrid>
      <w:tr w:rsidR="00933007" w:rsidTr="00826170">
        <w:tc>
          <w:tcPr>
            <w:tcW w:w="14338" w:type="dxa"/>
            <w:tcBorders>
              <w:left w:val="nil"/>
              <w:bottom w:val="single" w:sz="4" w:space="0" w:color="auto"/>
              <w:right w:val="nil"/>
            </w:tcBorders>
            <w:shd w:val="clear" w:color="auto" w:fill="auto"/>
          </w:tcPr>
          <w:p w:rsidR="002A6B68" w:rsidRDefault="00933007" w:rsidP="00F80A73">
            <w:pPr>
              <w:spacing w:before="60" w:after="60"/>
              <w:rPr>
                <w:b/>
                <w:sz w:val="24"/>
              </w:rPr>
            </w:pPr>
            <w:r w:rsidRPr="00826170">
              <w:rPr>
                <w:rStyle w:val="Heading3Char"/>
              </w:rPr>
              <w:t xml:space="preserve">Areas of </w:t>
            </w:r>
            <w:r w:rsidR="008F1BD0" w:rsidRPr="00826170">
              <w:rPr>
                <w:rStyle w:val="Heading3Char"/>
              </w:rPr>
              <w:t>c</w:t>
            </w:r>
            <w:r w:rsidRPr="00826170">
              <w:rPr>
                <w:rStyle w:val="Heading3Char"/>
              </w:rPr>
              <w:t>ommendation:</w:t>
            </w:r>
            <w:r w:rsidRPr="00826170">
              <w:rPr>
                <w:b/>
                <w:sz w:val="24"/>
              </w:rPr>
              <w:t xml:space="preserve"> </w:t>
            </w:r>
          </w:p>
          <w:p w:rsidR="00826170" w:rsidRDefault="00826170" w:rsidP="00F80A73">
            <w:pPr>
              <w:spacing w:before="60" w:after="60"/>
              <w:rPr>
                <w:sz w:val="24"/>
              </w:rPr>
            </w:pPr>
            <w:r>
              <w:rPr>
                <w:sz w:val="24"/>
              </w:rPr>
              <w:t xml:space="preserve">The core data set is </w:t>
            </w:r>
            <w:r w:rsidR="006D10B8">
              <w:rPr>
                <w:sz w:val="24"/>
              </w:rPr>
              <w:t xml:space="preserve">driving </w:t>
            </w:r>
            <w:r>
              <w:rPr>
                <w:sz w:val="24"/>
              </w:rPr>
              <w:t>decision making</w:t>
            </w:r>
            <w:r w:rsidR="006D10B8">
              <w:rPr>
                <w:sz w:val="24"/>
              </w:rPr>
              <w:t xml:space="preserve"> and implementation priorities</w:t>
            </w:r>
            <w:r>
              <w:rPr>
                <w:sz w:val="24"/>
              </w:rPr>
              <w:t>.</w:t>
            </w:r>
          </w:p>
          <w:p w:rsidR="00826170" w:rsidRDefault="00826170" w:rsidP="00F80A73">
            <w:pPr>
              <w:spacing w:before="60" w:after="60"/>
              <w:rPr>
                <w:sz w:val="24"/>
              </w:rPr>
            </w:pPr>
            <w:r>
              <w:rPr>
                <w:sz w:val="24"/>
              </w:rPr>
              <w:t>Using the core data set within roster testing and reporting of FTE requirements to evidence the need for increase or decrease</w:t>
            </w:r>
            <w:r w:rsidR="00051E86">
              <w:rPr>
                <w:sz w:val="24"/>
              </w:rPr>
              <w:t xml:space="preserve"> and to validate recommendations</w:t>
            </w:r>
            <w:r>
              <w:rPr>
                <w:sz w:val="24"/>
              </w:rPr>
              <w:t>.</w:t>
            </w:r>
          </w:p>
          <w:p w:rsidR="00826170" w:rsidRDefault="00826170" w:rsidP="00F80A73">
            <w:pPr>
              <w:spacing w:before="60" w:after="60"/>
              <w:rPr>
                <w:sz w:val="24"/>
              </w:rPr>
            </w:pPr>
            <w:r>
              <w:rPr>
                <w:sz w:val="24"/>
              </w:rPr>
              <w:t>16 wards/units in progress (including two MHAIDS units and 2 maternity units) with FTE calculations to be included in the budget for financial year 2020/21.</w:t>
            </w:r>
          </w:p>
          <w:p w:rsidR="006D10B8" w:rsidRDefault="006D10B8" w:rsidP="00F80A73">
            <w:pPr>
              <w:spacing w:before="60" w:after="60"/>
              <w:rPr>
                <w:sz w:val="24"/>
              </w:rPr>
            </w:pPr>
            <w:r>
              <w:rPr>
                <w:sz w:val="24"/>
              </w:rPr>
              <w:t>FTE calculation process is undertaken in partnership and includes the budget holders and professional nursing and midwifery leads.</w:t>
            </w:r>
          </w:p>
          <w:p w:rsidR="006D10B8" w:rsidRDefault="006D10B8" w:rsidP="00F80A73">
            <w:pPr>
              <w:spacing w:before="60" w:after="60"/>
              <w:rPr>
                <w:sz w:val="24"/>
              </w:rPr>
            </w:pPr>
            <w:r>
              <w:rPr>
                <w:sz w:val="24"/>
              </w:rPr>
              <w:t>A standard operating procedure underpins the FTE calculation process and is followed for each calculation.</w:t>
            </w:r>
          </w:p>
          <w:p w:rsidR="006D10B8" w:rsidRDefault="006D10B8" w:rsidP="00F80A73">
            <w:pPr>
              <w:spacing w:before="60" w:after="60"/>
              <w:rPr>
                <w:sz w:val="24"/>
              </w:rPr>
            </w:pPr>
            <w:r>
              <w:rPr>
                <w:sz w:val="24"/>
              </w:rPr>
              <w:t xml:space="preserve">The process has been refined to </w:t>
            </w:r>
            <w:r w:rsidR="00051E86">
              <w:rPr>
                <w:sz w:val="24"/>
              </w:rPr>
              <w:t>enable a more efficient and effective process.</w:t>
            </w:r>
          </w:p>
          <w:p w:rsidR="003E39BA" w:rsidRPr="00826170" w:rsidRDefault="00051E86" w:rsidP="00F80A73">
            <w:pPr>
              <w:spacing w:before="60" w:after="60"/>
              <w:rPr>
                <w:sz w:val="24"/>
              </w:rPr>
            </w:pPr>
            <w:r>
              <w:rPr>
                <w:sz w:val="24"/>
              </w:rPr>
              <w:t>The required Covid response</w:t>
            </w:r>
            <w:r w:rsidR="00D7262E">
              <w:rPr>
                <w:sz w:val="24"/>
              </w:rPr>
              <w:t xml:space="preserve"> and redeployment of the CCDM and TrendCare coordinators had an inevitable effect </w:t>
            </w:r>
            <w:r w:rsidR="003F6006">
              <w:rPr>
                <w:sz w:val="24"/>
              </w:rPr>
              <w:t>and delayed</w:t>
            </w:r>
            <w:r w:rsidR="00D7262E">
              <w:rPr>
                <w:sz w:val="24"/>
              </w:rPr>
              <w:t xml:space="preserve"> progress with FTE calculations.  However, this has been addressed by the CCDM team </w:t>
            </w:r>
            <w:r w:rsidR="003F6006">
              <w:rPr>
                <w:sz w:val="24"/>
              </w:rPr>
              <w:t>and the impact mitigated.</w:t>
            </w:r>
            <w:r w:rsidR="00D7262E">
              <w:rPr>
                <w:sz w:val="24"/>
              </w:rPr>
              <w:t xml:space="preserve"> </w:t>
            </w:r>
            <w:r w:rsidR="003F6006">
              <w:rPr>
                <w:sz w:val="24"/>
              </w:rPr>
              <w:t>FTE calculations are on schedule as planned.</w:t>
            </w:r>
          </w:p>
        </w:tc>
      </w:tr>
      <w:tr w:rsidR="00933007" w:rsidTr="00826170">
        <w:tc>
          <w:tcPr>
            <w:tcW w:w="14338" w:type="dxa"/>
            <w:tcBorders>
              <w:left w:val="nil"/>
              <w:right w:val="nil"/>
            </w:tcBorders>
            <w:shd w:val="clear" w:color="auto" w:fill="auto"/>
          </w:tcPr>
          <w:p w:rsidR="00933007" w:rsidRPr="00826170" w:rsidRDefault="00933007" w:rsidP="00F80A73">
            <w:pPr>
              <w:spacing w:before="60" w:after="60"/>
              <w:rPr>
                <w:b/>
                <w:sz w:val="24"/>
              </w:rPr>
            </w:pPr>
            <w:r w:rsidRPr="00826170">
              <w:rPr>
                <w:rStyle w:val="Heading3Char"/>
              </w:rPr>
              <w:t>Areas for improvement opportunities:</w:t>
            </w:r>
            <w:r w:rsidRPr="00826170">
              <w:rPr>
                <w:b/>
                <w:sz w:val="24"/>
              </w:rPr>
              <w:t xml:space="preserve"> </w:t>
            </w:r>
          </w:p>
          <w:p w:rsidR="001E0349" w:rsidRPr="003E39BA" w:rsidRDefault="003E39BA" w:rsidP="002A6B68">
            <w:pPr>
              <w:spacing w:before="60" w:after="60"/>
              <w:rPr>
                <w:sz w:val="24"/>
              </w:rPr>
            </w:pPr>
            <w:r>
              <w:rPr>
                <w:sz w:val="24"/>
              </w:rPr>
              <w:t>Continue to ensure that FTE calculations progress as per annual work plan.</w:t>
            </w:r>
          </w:p>
        </w:tc>
      </w:tr>
    </w:tbl>
    <w:p w:rsidR="00933007" w:rsidRPr="000C0248" w:rsidRDefault="00933007" w:rsidP="008F1BD0">
      <w:pPr>
        <w:pStyle w:val="Heading2"/>
      </w:pPr>
      <w:r>
        <w:lastRenderedPageBreak/>
        <w:t>Standard 5</w:t>
      </w:r>
      <w:r w:rsidR="00961F09">
        <w:t>.0</w:t>
      </w:r>
      <w:r w:rsidRPr="000C0248">
        <w:t xml:space="preserve"> – Variance </w:t>
      </w:r>
      <w:r w:rsidR="00961F09">
        <w:t>r</w:t>
      </w:r>
      <w:r w:rsidRPr="000C0248">
        <w:t xml:space="preserve">esponse </w:t>
      </w:r>
      <w:r w:rsidR="00961F09">
        <w:t>m</w:t>
      </w:r>
      <w:r w:rsidRPr="000C0248">
        <w:t>anagement</w:t>
      </w:r>
    </w:p>
    <w:tbl>
      <w:tblPr>
        <w:tblStyle w:val="TableGrid"/>
        <w:tblW w:w="0" w:type="auto"/>
        <w:shd w:val="clear" w:color="auto" w:fill="BFB97F"/>
        <w:tblLook w:val="04A0" w:firstRow="1" w:lastRow="0" w:firstColumn="1" w:lastColumn="0" w:noHBand="0" w:noVBand="1"/>
      </w:tblPr>
      <w:tblGrid>
        <w:gridCol w:w="14283"/>
      </w:tblGrid>
      <w:tr w:rsidR="00933007" w:rsidTr="00352EC3">
        <w:trPr>
          <w:tblHeader/>
        </w:trPr>
        <w:tc>
          <w:tcPr>
            <w:tcW w:w="14283" w:type="dxa"/>
            <w:shd w:val="clear" w:color="auto" w:fill="BFB97F"/>
          </w:tcPr>
          <w:p w:rsidR="00933007" w:rsidRPr="00352EC3" w:rsidRDefault="00933007" w:rsidP="00352EC3">
            <w:pPr>
              <w:rPr>
                <w:rFonts w:cstheme="minorHAnsi"/>
                <w:b/>
              </w:rPr>
            </w:pPr>
            <w:r w:rsidRPr="00352EC3">
              <w:rPr>
                <w:rFonts w:cstheme="minorHAnsi"/>
                <w:b/>
              </w:rPr>
              <w:t>Standard 5.0</w:t>
            </w:r>
          </w:p>
          <w:p w:rsidR="00933007" w:rsidRPr="00352EC3" w:rsidRDefault="00933007" w:rsidP="007F1935">
            <w:pPr>
              <w:rPr>
                <w:rFonts w:cstheme="minorHAnsi"/>
              </w:rPr>
            </w:pPr>
            <w:r w:rsidRPr="00352EC3">
              <w:rPr>
                <w:rFonts w:cstheme="minorHAnsi"/>
              </w:rPr>
              <w:t xml:space="preserve">The DHB uses a </w:t>
            </w:r>
            <w:r w:rsidR="007F1935">
              <w:rPr>
                <w:rFonts w:cstheme="minorHAnsi"/>
              </w:rPr>
              <w:t>v</w:t>
            </w:r>
            <w:r w:rsidRPr="00352EC3">
              <w:rPr>
                <w:rFonts w:cstheme="minorHAnsi"/>
              </w:rPr>
              <w:t xml:space="preserve">ariance </w:t>
            </w:r>
            <w:r w:rsidR="007F1935">
              <w:rPr>
                <w:rFonts w:cstheme="minorHAnsi"/>
              </w:rPr>
              <w:t>r</w:t>
            </w:r>
            <w:r w:rsidRPr="00352EC3">
              <w:rPr>
                <w:rFonts w:cstheme="minorHAnsi"/>
              </w:rPr>
              <w:t xml:space="preserve">esponse </w:t>
            </w:r>
            <w:r w:rsidR="007F1935">
              <w:rPr>
                <w:rFonts w:cstheme="minorHAnsi"/>
              </w:rPr>
              <w:t>m</w:t>
            </w:r>
            <w:r w:rsidRPr="00352EC3">
              <w:rPr>
                <w:rFonts w:cstheme="minorHAnsi"/>
              </w:rPr>
              <w:t>anagement system to provide the right staff numbers, mix and skills at all times for effective patient care delivery.</w:t>
            </w:r>
          </w:p>
        </w:tc>
      </w:tr>
    </w:tbl>
    <w:p w:rsidR="00933007" w:rsidRDefault="00933007" w:rsidP="00933007">
      <w:pPr>
        <w:pStyle w:val="NoSpacing"/>
      </w:pPr>
    </w:p>
    <w:tbl>
      <w:tblPr>
        <w:tblStyle w:val="TableGrid"/>
        <w:tblW w:w="0" w:type="auto"/>
        <w:tblLook w:val="04A0" w:firstRow="1" w:lastRow="0" w:firstColumn="1" w:lastColumn="0" w:noHBand="0" w:noVBand="1"/>
      </w:tblPr>
      <w:tblGrid>
        <w:gridCol w:w="5162"/>
        <w:gridCol w:w="9150"/>
      </w:tblGrid>
      <w:tr w:rsidR="00933007" w:rsidTr="00352EC3">
        <w:trPr>
          <w:tblHeader/>
        </w:trPr>
        <w:tc>
          <w:tcPr>
            <w:tcW w:w="5162" w:type="dxa"/>
            <w:shd w:val="clear" w:color="auto" w:fill="BFB97F"/>
          </w:tcPr>
          <w:p w:rsidR="00933007" w:rsidRPr="00352EC3" w:rsidRDefault="00933007" w:rsidP="000E0334">
            <w:pPr>
              <w:pStyle w:val="NoSpacing"/>
              <w:rPr>
                <w:b/>
                <w:sz w:val="22"/>
              </w:rPr>
            </w:pPr>
            <w:r w:rsidRPr="00352EC3">
              <w:rPr>
                <w:b/>
                <w:sz w:val="22"/>
              </w:rPr>
              <w:t>Criteria</w:t>
            </w:r>
          </w:p>
        </w:tc>
        <w:tc>
          <w:tcPr>
            <w:tcW w:w="9150" w:type="dxa"/>
            <w:tcBorders>
              <w:bottom w:val="single" w:sz="4" w:space="0" w:color="auto"/>
            </w:tcBorders>
            <w:shd w:val="clear" w:color="auto" w:fill="BFB97F"/>
          </w:tcPr>
          <w:p w:rsidR="00933007" w:rsidRPr="00235BBD" w:rsidRDefault="00933007" w:rsidP="007F1935">
            <w:pPr>
              <w:pStyle w:val="NoSpacing"/>
              <w:rPr>
                <w:sz w:val="22"/>
              </w:rPr>
            </w:pPr>
            <w:r w:rsidRPr="00235BBD">
              <w:rPr>
                <w:sz w:val="22"/>
              </w:rPr>
              <w:t xml:space="preserve">Evidence (use standards guidance) expectation is to see evidence at Executive / </w:t>
            </w:r>
            <w:r w:rsidR="007F1935">
              <w:rPr>
                <w:sz w:val="22"/>
              </w:rPr>
              <w:t>d</w:t>
            </w:r>
            <w:r w:rsidRPr="00235BBD">
              <w:rPr>
                <w:sz w:val="22"/>
              </w:rPr>
              <w:t>irectorate</w:t>
            </w:r>
            <w:r w:rsidR="006E6F00">
              <w:rPr>
                <w:sz w:val="22"/>
              </w:rPr>
              <w:t>/service</w:t>
            </w:r>
            <w:r w:rsidRPr="00235BBD">
              <w:rPr>
                <w:sz w:val="22"/>
              </w:rPr>
              <w:t xml:space="preserve"> and </w:t>
            </w:r>
            <w:r w:rsidR="007F1935">
              <w:rPr>
                <w:sz w:val="22"/>
              </w:rPr>
              <w:t>w</w:t>
            </w:r>
            <w:r w:rsidRPr="00235BBD">
              <w:rPr>
                <w:sz w:val="22"/>
              </w:rPr>
              <w:t>ard level</w:t>
            </w:r>
          </w:p>
        </w:tc>
      </w:tr>
      <w:tr w:rsidR="00933007" w:rsidTr="00352EC3">
        <w:trPr>
          <w:trHeight w:val="875"/>
        </w:trPr>
        <w:tc>
          <w:tcPr>
            <w:tcW w:w="5162" w:type="dxa"/>
            <w:shd w:val="clear" w:color="auto" w:fill="E6E4CC"/>
          </w:tcPr>
          <w:p w:rsidR="00933007" w:rsidRPr="006431FB" w:rsidRDefault="00933007" w:rsidP="00933007">
            <w:pPr>
              <w:pStyle w:val="NoSpacing"/>
              <w:numPr>
                <w:ilvl w:val="0"/>
                <w:numId w:val="14"/>
              </w:numPr>
              <w:ind w:left="567" w:hanging="425"/>
              <w:jc w:val="left"/>
            </w:pPr>
            <w:r w:rsidRPr="00F1045D">
              <w:t xml:space="preserve">There is an integrated operations centre where </w:t>
            </w:r>
            <w:r>
              <w:t xml:space="preserve">hospital-wide </w:t>
            </w:r>
            <w:r w:rsidRPr="00F1045D">
              <w:t>care capacity and patient demand is visible in real time</w:t>
            </w:r>
            <w:r>
              <w:t xml:space="preserve"> 24/7.</w:t>
            </w:r>
          </w:p>
        </w:tc>
        <w:tc>
          <w:tcPr>
            <w:tcW w:w="9150" w:type="dxa"/>
            <w:shd w:val="clear" w:color="auto" w:fill="auto"/>
          </w:tcPr>
          <w:p w:rsidR="00933007" w:rsidRDefault="002A6B68" w:rsidP="002A6B68">
            <w:pPr>
              <w:pStyle w:val="ListParagraph"/>
              <w:numPr>
                <w:ilvl w:val="0"/>
                <w:numId w:val="28"/>
              </w:numPr>
              <w:rPr>
                <w:sz w:val="20"/>
                <w:szCs w:val="20"/>
              </w:rPr>
            </w:pPr>
            <w:r>
              <w:rPr>
                <w:sz w:val="20"/>
                <w:szCs w:val="20"/>
              </w:rPr>
              <w:t>The DHB as an integrated operations centre (IOC) with real time CaaG screens visi</w:t>
            </w:r>
            <w:r w:rsidR="00AF78BC">
              <w:rPr>
                <w:sz w:val="20"/>
                <w:szCs w:val="20"/>
              </w:rPr>
              <w:t>ble 24/7 and are available on staff</w:t>
            </w:r>
            <w:r w:rsidR="00911686">
              <w:rPr>
                <w:sz w:val="20"/>
                <w:szCs w:val="20"/>
              </w:rPr>
              <w:t xml:space="preserve"> desktops once logged into the C</w:t>
            </w:r>
            <w:r w:rsidR="00AF78BC">
              <w:rPr>
                <w:sz w:val="20"/>
                <w:szCs w:val="20"/>
              </w:rPr>
              <w:t>itrix accounts.</w:t>
            </w:r>
            <w:r>
              <w:rPr>
                <w:sz w:val="20"/>
                <w:szCs w:val="20"/>
              </w:rPr>
              <w:t xml:space="preserve">  These require changing in line with the CCDM specifications to ensure care capacity and patient demand is visible.</w:t>
            </w:r>
          </w:p>
          <w:p w:rsidR="00911686" w:rsidRDefault="00911686" w:rsidP="002A6B68">
            <w:pPr>
              <w:pStyle w:val="ListParagraph"/>
              <w:numPr>
                <w:ilvl w:val="0"/>
                <w:numId w:val="28"/>
              </w:numPr>
              <w:rPr>
                <w:sz w:val="20"/>
                <w:szCs w:val="20"/>
              </w:rPr>
            </w:pPr>
            <w:r>
              <w:rPr>
                <w:sz w:val="20"/>
                <w:szCs w:val="20"/>
              </w:rPr>
              <w:t>Development of the new CaaG screens is complete and testing has commenced.  The new CaaG incorporates all standard 5 specification requirements including –</w:t>
            </w:r>
          </w:p>
          <w:p w:rsidR="00911686" w:rsidRDefault="00911686" w:rsidP="00911686">
            <w:pPr>
              <w:pStyle w:val="ListParagraph"/>
              <w:numPr>
                <w:ilvl w:val="3"/>
                <w:numId w:val="28"/>
              </w:numPr>
              <w:rPr>
                <w:sz w:val="20"/>
                <w:szCs w:val="20"/>
              </w:rPr>
            </w:pPr>
            <w:r>
              <w:rPr>
                <w:sz w:val="20"/>
                <w:szCs w:val="20"/>
              </w:rPr>
              <w:t>Variance indicator scoring using a mobile phone app.  Updates CaaG screen within 10 seconds</w:t>
            </w:r>
          </w:p>
          <w:p w:rsidR="00911686" w:rsidRDefault="00911686" w:rsidP="00911686">
            <w:pPr>
              <w:pStyle w:val="ListParagraph"/>
              <w:numPr>
                <w:ilvl w:val="3"/>
                <w:numId w:val="28"/>
              </w:numPr>
              <w:rPr>
                <w:sz w:val="20"/>
                <w:szCs w:val="20"/>
              </w:rPr>
            </w:pPr>
            <w:r>
              <w:rPr>
                <w:sz w:val="20"/>
                <w:szCs w:val="20"/>
              </w:rPr>
              <w:t>Overarching hospital indicator</w:t>
            </w:r>
          </w:p>
          <w:p w:rsidR="00911686" w:rsidRDefault="00911686" w:rsidP="00911686">
            <w:pPr>
              <w:pStyle w:val="ListParagraph"/>
              <w:numPr>
                <w:ilvl w:val="3"/>
                <w:numId w:val="28"/>
              </w:numPr>
              <w:rPr>
                <w:sz w:val="20"/>
                <w:szCs w:val="20"/>
              </w:rPr>
            </w:pPr>
            <w:r>
              <w:rPr>
                <w:sz w:val="20"/>
                <w:szCs w:val="20"/>
              </w:rPr>
              <w:t>Real time TrendCare acuity based on percentages aligning with shifts below target</w:t>
            </w:r>
          </w:p>
          <w:p w:rsidR="00911686" w:rsidRDefault="00911686" w:rsidP="00911686">
            <w:pPr>
              <w:pStyle w:val="ListParagraph"/>
              <w:numPr>
                <w:ilvl w:val="3"/>
                <w:numId w:val="28"/>
              </w:numPr>
              <w:rPr>
                <w:sz w:val="20"/>
                <w:szCs w:val="20"/>
              </w:rPr>
            </w:pPr>
            <w:r>
              <w:rPr>
                <w:sz w:val="20"/>
                <w:szCs w:val="20"/>
              </w:rPr>
              <w:t>Occupied, open and resourced, beds</w:t>
            </w:r>
          </w:p>
          <w:p w:rsidR="00911686" w:rsidRDefault="00911686" w:rsidP="00911686">
            <w:pPr>
              <w:pStyle w:val="ListParagraph"/>
              <w:numPr>
                <w:ilvl w:val="3"/>
                <w:numId w:val="28"/>
              </w:numPr>
              <w:rPr>
                <w:sz w:val="20"/>
                <w:szCs w:val="20"/>
              </w:rPr>
            </w:pPr>
            <w:r>
              <w:rPr>
                <w:sz w:val="20"/>
                <w:szCs w:val="20"/>
              </w:rPr>
              <w:t>Planned admissions and discharges for the next 48 hours</w:t>
            </w:r>
          </w:p>
          <w:p w:rsidR="00911686" w:rsidRDefault="00911686" w:rsidP="00911686">
            <w:pPr>
              <w:pStyle w:val="ListParagraph"/>
              <w:numPr>
                <w:ilvl w:val="3"/>
                <w:numId w:val="28"/>
              </w:numPr>
              <w:rPr>
                <w:sz w:val="20"/>
                <w:szCs w:val="20"/>
              </w:rPr>
            </w:pPr>
            <w:r>
              <w:rPr>
                <w:sz w:val="20"/>
                <w:szCs w:val="20"/>
              </w:rPr>
              <w:t>All wards including full MHAIDS representation for CCDHB</w:t>
            </w:r>
          </w:p>
          <w:p w:rsidR="00911686" w:rsidRDefault="00911686" w:rsidP="00911686">
            <w:pPr>
              <w:pStyle w:val="ListParagraph"/>
              <w:numPr>
                <w:ilvl w:val="3"/>
                <w:numId w:val="28"/>
              </w:numPr>
              <w:rPr>
                <w:sz w:val="20"/>
                <w:szCs w:val="20"/>
              </w:rPr>
            </w:pPr>
            <w:r>
              <w:rPr>
                <w:sz w:val="20"/>
                <w:szCs w:val="20"/>
              </w:rPr>
              <w:t>Embedded standard operating procedures for escalation</w:t>
            </w:r>
          </w:p>
          <w:p w:rsidR="00911686" w:rsidRDefault="00911686" w:rsidP="00911686">
            <w:pPr>
              <w:pStyle w:val="ListParagraph"/>
              <w:numPr>
                <w:ilvl w:val="3"/>
                <w:numId w:val="28"/>
              </w:numPr>
              <w:rPr>
                <w:sz w:val="20"/>
                <w:szCs w:val="20"/>
              </w:rPr>
            </w:pPr>
            <w:r>
              <w:rPr>
                <w:sz w:val="20"/>
                <w:szCs w:val="20"/>
              </w:rPr>
              <w:t>Current CaaG functionality has been retained</w:t>
            </w:r>
          </w:p>
          <w:p w:rsidR="002A6B68" w:rsidRDefault="002A6B68" w:rsidP="002A6B68">
            <w:pPr>
              <w:pStyle w:val="ListParagraph"/>
              <w:numPr>
                <w:ilvl w:val="0"/>
                <w:numId w:val="28"/>
              </w:numPr>
              <w:rPr>
                <w:sz w:val="20"/>
                <w:szCs w:val="20"/>
              </w:rPr>
            </w:pPr>
            <w:r>
              <w:rPr>
                <w:sz w:val="20"/>
                <w:szCs w:val="20"/>
              </w:rPr>
              <w:t>Morning and evening meetings are held within the IOC, which are well attended by charge nurse and midwife mangers and shift coordinators, to address patient flow and staffing issues.</w:t>
            </w:r>
          </w:p>
          <w:p w:rsidR="009E26DF" w:rsidRDefault="009E26DF" w:rsidP="009E26DF">
            <w:pPr>
              <w:pStyle w:val="ListParagraph"/>
              <w:numPr>
                <w:ilvl w:val="0"/>
                <w:numId w:val="22"/>
              </w:numPr>
              <w:rPr>
                <w:sz w:val="20"/>
                <w:szCs w:val="20"/>
              </w:rPr>
            </w:pPr>
            <w:r>
              <w:rPr>
                <w:sz w:val="20"/>
                <w:szCs w:val="20"/>
              </w:rPr>
              <w:t>The Variance Response Management Guidance (VRMG) report has been established providing automated reports 7 times a day to the IOC and DNMs.  This report offers a clear view of the current state of the hospital and the prediction for the next 3 shifts – TrendCare acuity/variance for the current and next 3 shifts, expected discharges and admissions, utilisation and occupancy, shift notes and bureau requests, all by ward.  This is currently for all general wards but will progress to MHAIDS shortly.</w:t>
            </w:r>
          </w:p>
          <w:p w:rsidR="009E26DF" w:rsidRDefault="009E26DF" w:rsidP="002A6B68">
            <w:pPr>
              <w:pStyle w:val="ListParagraph"/>
              <w:numPr>
                <w:ilvl w:val="0"/>
                <w:numId w:val="28"/>
              </w:numPr>
              <w:rPr>
                <w:sz w:val="20"/>
                <w:szCs w:val="20"/>
              </w:rPr>
            </w:pPr>
            <w:r>
              <w:rPr>
                <w:sz w:val="20"/>
                <w:szCs w:val="20"/>
              </w:rPr>
              <w:t xml:space="preserve">Variance response staff task lists have been developed and implemented for all inpatient areas.  This has included education, gradual roll-out and is supported by a feedback survey for redeployed and receiving staff.  This has revitalised redeployment and has received positive feedback.  Redeployment options are now considered for task as well as full shifts.  A ‘flattening out’ of the TrendCare variances has been evident </w:t>
            </w:r>
            <w:r>
              <w:rPr>
                <w:sz w:val="20"/>
                <w:szCs w:val="20"/>
              </w:rPr>
              <w:lastRenderedPageBreak/>
              <w:t>over recent months.  This is challenging as utilisation increases post Covid but is being managed well through the IOC with guidance and support from the CCDM team.</w:t>
            </w:r>
          </w:p>
          <w:p w:rsidR="002A6B68" w:rsidRDefault="002A6B68" w:rsidP="002A6B68">
            <w:pPr>
              <w:pStyle w:val="ListParagraph"/>
              <w:numPr>
                <w:ilvl w:val="0"/>
                <w:numId w:val="28"/>
              </w:numPr>
              <w:rPr>
                <w:sz w:val="20"/>
                <w:szCs w:val="20"/>
              </w:rPr>
            </w:pPr>
            <w:r>
              <w:rPr>
                <w:sz w:val="20"/>
                <w:szCs w:val="20"/>
              </w:rPr>
              <w:t xml:space="preserve">A separate </w:t>
            </w:r>
            <w:r w:rsidR="00AF78BC">
              <w:rPr>
                <w:sz w:val="20"/>
                <w:szCs w:val="20"/>
              </w:rPr>
              <w:t>‘</w:t>
            </w:r>
            <w:r>
              <w:rPr>
                <w:sz w:val="20"/>
                <w:szCs w:val="20"/>
              </w:rPr>
              <w:t>TrendCare at a glance’ screen is visible 24/7 giving a picture of acuity</w:t>
            </w:r>
            <w:r w:rsidR="00AF78BC">
              <w:rPr>
                <w:sz w:val="20"/>
                <w:szCs w:val="20"/>
              </w:rPr>
              <w:t xml:space="preserve"> and variance.</w:t>
            </w:r>
          </w:p>
          <w:p w:rsidR="00AF78BC" w:rsidRDefault="00AF78BC" w:rsidP="002A6B68">
            <w:pPr>
              <w:pStyle w:val="ListParagraph"/>
              <w:numPr>
                <w:ilvl w:val="0"/>
                <w:numId w:val="28"/>
              </w:numPr>
              <w:rPr>
                <w:sz w:val="20"/>
                <w:szCs w:val="20"/>
              </w:rPr>
            </w:pPr>
            <w:r>
              <w:rPr>
                <w:sz w:val="20"/>
                <w:szCs w:val="20"/>
              </w:rPr>
              <w:t>CapPlan is utilised daily, weekly and monthly.</w:t>
            </w:r>
            <w:r w:rsidR="009E26DF">
              <w:rPr>
                <w:sz w:val="20"/>
                <w:szCs w:val="20"/>
              </w:rPr>
              <w:t xml:space="preserve">  This has been challenging with Covid due to significant differences in occupancy forecasted being inaccurate for this time.</w:t>
            </w:r>
          </w:p>
          <w:p w:rsidR="00AF78BC" w:rsidRDefault="009E26DF" w:rsidP="002A6B68">
            <w:pPr>
              <w:pStyle w:val="ListParagraph"/>
              <w:numPr>
                <w:ilvl w:val="0"/>
                <w:numId w:val="28"/>
              </w:numPr>
              <w:rPr>
                <w:sz w:val="20"/>
                <w:szCs w:val="20"/>
              </w:rPr>
            </w:pPr>
            <w:r>
              <w:rPr>
                <w:sz w:val="20"/>
                <w:szCs w:val="20"/>
              </w:rPr>
              <w:t xml:space="preserve">A “Week that Was” </w:t>
            </w:r>
            <w:r w:rsidR="00556FCE">
              <w:rPr>
                <w:sz w:val="20"/>
                <w:szCs w:val="20"/>
              </w:rPr>
              <w:t xml:space="preserve">(whole of organisation) </w:t>
            </w:r>
            <w:r>
              <w:rPr>
                <w:sz w:val="20"/>
                <w:szCs w:val="20"/>
              </w:rPr>
              <w:t>meeting has been implemented enabling weekly reviews of</w:t>
            </w:r>
          </w:p>
          <w:p w:rsidR="009E26DF" w:rsidRDefault="009E26DF" w:rsidP="009E26DF">
            <w:pPr>
              <w:pStyle w:val="ListParagraph"/>
              <w:numPr>
                <w:ilvl w:val="3"/>
                <w:numId w:val="28"/>
              </w:numPr>
              <w:rPr>
                <w:sz w:val="20"/>
                <w:szCs w:val="20"/>
              </w:rPr>
            </w:pPr>
            <w:r>
              <w:rPr>
                <w:sz w:val="20"/>
                <w:szCs w:val="20"/>
              </w:rPr>
              <w:t>TrendCare statistics – accuracy and compliance</w:t>
            </w:r>
          </w:p>
          <w:p w:rsidR="009E26DF" w:rsidRDefault="009E26DF" w:rsidP="009E26DF">
            <w:pPr>
              <w:pStyle w:val="ListParagraph"/>
              <w:numPr>
                <w:ilvl w:val="3"/>
                <w:numId w:val="28"/>
              </w:numPr>
              <w:rPr>
                <w:sz w:val="20"/>
                <w:szCs w:val="20"/>
              </w:rPr>
            </w:pPr>
            <w:r>
              <w:rPr>
                <w:sz w:val="20"/>
                <w:szCs w:val="20"/>
              </w:rPr>
              <w:t>Care hours variance</w:t>
            </w:r>
          </w:p>
          <w:p w:rsidR="009E26DF" w:rsidRDefault="009E26DF" w:rsidP="009E26DF">
            <w:pPr>
              <w:pStyle w:val="ListParagraph"/>
              <w:numPr>
                <w:ilvl w:val="3"/>
                <w:numId w:val="28"/>
              </w:numPr>
              <w:rPr>
                <w:sz w:val="20"/>
                <w:szCs w:val="20"/>
              </w:rPr>
            </w:pPr>
            <w:r>
              <w:rPr>
                <w:sz w:val="20"/>
                <w:szCs w:val="20"/>
              </w:rPr>
              <w:t>Shifts below target</w:t>
            </w:r>
          </w:p>
          <w:p w:rsidR="009E26DF" w:rsidRDefault="009E26DF" w:rsidP="009E26DF">
            <w:pPr>
              <w:pStyle w:val="ListParagraph"/>
              <w:numPr>
                <w:ilvl w:val="3"/>
                <w:numId w:val="28"/>
              </w:numPr>
              <w:rPr>
                <w:sz w:val="20"/>
                <w:szCs w:val="20"/>
              </w:rPr>
            </w:pPr>
            <w:r>
              <w:rPr>
                <w:sz w:val="20"/>
                <w:szCs w:val="20"/>
              </w:rPr>
              <w:t>Utilisation</w:t>
            </w:r>
          </w:p>
          <w:p w:rsidR="009E26DF" w:rsidRDefault="009E26DF" w:rsidP="009E26DF">
            <w:pPr>
              <w:pStyle w:val="ListParagraph"/>
              <w:numPr>
                <w:ilvl w:val="3"/>
                <w:numId w:val="28"/>
              </w:numPr>
              <w:rPr>
                <w:sz w:val="20"/>
                <w:szCs w:val="20"/>
              </w:rPr>
            </w:pPr>
            <w:r>
              <w:rPr>
                <w:sz w:val="20"/>
                <w:szCs w:val="20"/>
              </w:rPr>
              <w:t>Bureau requests – filled and unfilled</w:t>
            </w:r>
          </w:p>
          <w:p w:rsidR="009E26DF" w:rsidRDefault="009E26DF" w:rsidP="009E26DF">
            <w:pPr>
              <w:pStyle w:val="ListParagraph"/>
              <w:numPr>
                <w:ilvl w:val="3"/>
                <w:numId w:val="28"/>
              </w:numPr>
              <w:rPr>
                <w:sz w:val="20"/>
                <w:szCs w:val="20"/>
              </w:rPr>
            </w:pPr>
            <w:r>
              <w:rPr>
                <w:sz w:val="20"/>
                <w:szCs w:val="20"/>
              </w:rPr>
              <w:t>Safe staffing reportable events</w:t>
            </w:r>
          </w:p>
          <w:p w:rsidR="009E26DF" w:rsidRDefault="009E26DF" w:rsidP="009E26DF">
            <w:pPr>
              <w:pStyle w:val="ListParagraph"/>
              <w:numPr>
                <w:ilvl w:val="3"/>
                <w:numId w:val="28"/>
              </w:numPr>
              <w:rPr>
                <w:sz w:val="20"/>
                <w:szCs w:val="20"/>
              </w:rPr>
            </w:pPr>
            <w:r>
              <w:rPr>
                <w:sz w:val="20"/>
                <w:szCs w:val="20"/>
              </w:rPr>
              <w:t>Predictions and forecasts for the week ahead</w:t>
            </w:r>
          </w:p>
          <w:p w:rsidR="009E26DF" w:rsidRDefault="009E26DF" w:rsidP="009E26DF">
            <w:pPr>
              <w:pStyle w:val="ListParagraph"/>
              <w:numPr>
                <w:ilvl w:val="3"/>
                <w:numId w:val="28"/>
              </w:numPr>
              <w:rPr>
                <w:sz w:val="20"/>
                <w:szCs w:val="20"/>
              </w:rPr>
            </w:pPr>
            <w:r>
              <w:rPr>
                <w:sz w:val="20"/>
                <w:szCs w:val="20"/>
              </w:rPr>
              <w:t>Upcoming leave for wards</w:t>
            </w:r>
          </w:p>
          <w:p w:rsidR="00556FCE" w:rsidRPr="00556FCE" w:rsidRDefault="00556FCE" w:rsidP="00556FCE">
            <w:pPr>
              <w:rPr>
                <w:sz w:val="20"/>
                <w:szCs w:val="20"/>
              </w:rPr>
            </w:pPr>
            <w:r>
              <w:rPr>
                <w:sz w:val="20"/>
                <w:szCs w:val="20"/>
              </w:rPr>
              <w:t>This has again been met positively and is having an impact on the way we work as a DHB.</w:t>
            </w:r>
          </w:p>
        </w:tc>
      </w:tr>
      <w:tr w:rsidR="00933007" w:rsidTr="00352EC3">
        <w:trPr>
          <w:trHeight w:val="1159"/>
        </w:trPr>
        <w:tc>
          <w:tcPr>
            <w:tcW w:w="5162" w:type="dxa"/>
            <w:shd w:val="clear" w:color="auto" w:fill="E6E4CC"/>
          </w:tcPr>
          <w:p w:rsidR="00933007" w:rsidRPr="00F1045D" w:rsidRDefault="00933007" w:rsidP="00933007">
            <w:pPr>
              <w:pStyle w:val="NoSpacing"/>
              <w:numPr>
                <w:ilvl w:val="0"/>
                <w:numId w:val="14"/>
              </w:numPr>
              <w:ind w:left="567" w:hanging="425"/>
              <w:jc w:val="left"/>
            </w:pPr>
            <w:r w:rsidRPr="00F40324">
              <w:lastRenderedPageBreak/>
              <w:t>There is a suitably qualified and/or experienced person with authority, accountability and responsibility for managing staffing and patient flow 24/7.</w:t>
            </w:r>
          </w:p>
        </w:tc>
        <w:tc>
          <w:tcPr>
            <w:tcW w:w="9150" w:type="dxa"/>
            <w:shd w:val="clear" w:color="auto" w:fill="auto"/>
          </w:tcPr>
          <w:p w:rsidR="00933007" w:rsidRDefault="00AF78BC" w:rsidP="00AF78BC">
            <w:pPr>
              <w:pStyle w:val="ListParagraph"/>
              <w:numPr>
                <w:ilvl w:val="0"/>
                <w:numId w:val="31"/>
              </w:numPr>
              <w:rPr>
                <w:sz w:val="20"/>
                <w:szCs w:val="20"/>
              </w:rPr>
            </w:pPr>
            <w:r>
              <w:rPr>
                <w:sz w:val="20"/>
                <w:szCs w:val="20"/>
              </w:rPr>
              <w:t xml:space="preserve">The DHB is staffed by a duty nurse manager (DNM) 24/7 </w:t>
            </w:r>
            <w:r w:rsidR="002975ED">
              <w:rPr>
                <w:sz w:val="20"/>
                <w:szCs w:val="20"/>
              </w:rPr>
              <w:t xml:space="preserve">increasing to 2 DNMs from 1330 to 2130 and an additional </w:t>
            </w:r>
            <w:r>
              <w:rPr>
                <w:sz w:val="20"/>
                <w:szCs w:val="20"/>
              </w:rPr>
              <w:t>DNM at the Kenepuru site on a PM and night shift.</w:t>
            </w:r>
          </w:p>
          <w:p w:rsidR="006863C8" w:rsidRDefault="006863C8" w:rsidP="00AF78BC">
            <w:pPr>
              <w:pStyle w:val="ListParagraph"/>
              <w:numPr>
                <w:ilvl w:val="0"/>
                <w:numId w:val="31"/>
              </w:numPr>
              <w:rPr>
                <w:sz w:val="20"/>
                <w:szCs w:val="20"/>
              </w:rPr>
            </w:pPr>
            <w:r>
              <w:rPr>
                <w:sz w:val="20"/>
                <w:szCs w:val="20"/>
              </w:rPr>
              <w:t>MHAIDS has DNM cover for 20 hours per day from 0730 – 2330 with an overlap early afternoon.</w:t>
            </w:r>
          </w:p>
          <w:p w:rsidR="00AF78BC" w:rsidRDefault="00AF78BC" w:rsidP="00AF78BC">
            <w:pPr>
              <w:pStyle w:val="ListParagraph"/>
              <w:numPr>
                <w:ilvl w:val="0"/>
                <w:numId w:val="31"/>
              </w:numPr>
              <w:rPr>
                <w:sz w:val="20"/>
                <w:szCs w:val="20"/>
              </w:rPr>
            </w:pPr>
            <w:r>
              <w:rPr>
                <w:sz w:val="20"/>
                <w:szCs w:val="20"/>
              </w:rPr>
              <w:t xml:space="preserve">During office hours the IOC is supported by the IOC </w:t>
            </w:r>
            <w:r w:rsidR="002975ED">
              <w:rPr>
                <w:sz w:val="20"/>
                <w:szCs w:val="20"/>
              </w:rPr>
              <w:t xml:space="preserve">general </w:t>
            </w:r>
            <w:r>
              <w:rPr>
                <w:sz w:val="20"/>
                <w:szCs w:val="20"/>
              </w:rPr>
              <w:t>manager, the IOC nurse manager and associate charge nurse manager.</w:t>
            </w:r>
          </w:p>
          <w:p w:rsidR="000F632F" w:rsidRPr="00AF78BC" w:rsidRDefault="000F632F" w:rsidP="00AF78BC">
            <w:pPr>
              <w:pStyle w:val="ListParagraph"/>
              <w:numPr>
                <w:ilvl w:val="0"/>
                <w:numId w:val="31"/>
              </w:numPr>
              <w:rPr>
                <w:sz w:val="20"/>
                <w:szCs w:val="20"/>
              </w:rPr>
            </w:pPr>
            <w:r>
              <w:rPr>
                <w:sz w:val="20"/>
                <w:szCs w:val="20"/>
              </w:rPr>
              <w:t>During office hours the MHAIDS IOC is supported by the MHAIDS IOC manager.</w:t>
            </w:r>
          </w:p>
        </w:tc>
      </w:tr>
      <w:tr w:rsidR="00933007" w:rsidTr="00352EC3">
        <w:trPr>
          <w:trHeight w:val="875"/>
        </w:trPr>
        <w:tc>
          <w:tcPr>
            <w:tcW w:w="5162" w:type="dxa"/>
            <w:shd w:val="clear" w:color="auto" w:fill="E6E4CC"/>
          </w:tcPr>
          <w:p w:rsidR="00933007" w:rsidRPr="00F1045D" w:rsidRDefault="00933007" w:rsidP="00933007">
            <w:pPr>
              <w:pStyle w:val="NoSpacing"/>
              <w:numPr>
                <w:ilvl w:val="0"/>
                <w:numId w:val="14"/>
              </w:numPr>
              <w:ind w:left="567" w:hanging="425"/>
              <w:jc w:val="left"/>
            </w:pPr>
            <w:r w:rsidRPr="00F1045D">
              <w:t>The organisation consistently matches staffing resource with patient demand on a shift by shift basis.</w:t>
            </w:r>
          </w:p>
        </w:tc>
        <w:tc>
          <w:tcPr>
            <w:tcW w:w="9150" w:type="dxa"/>
            <w:shd w:val="clear" w:color="auto" w:fill="auto"/>
          </w:tcPr>
          <w:p w:rsidR="00933007" w:rsidRDefault="00AF78BC" w:rsidP="00AF78BC">
            <w:pPr>
              <w:pStyle w:val="ListParagraph"/>
              <w:numPr>
                <w:ilvl w:val="0"/>
                <w:numId w:val="32"/>
              </w:numPr>
              <w:rPr>
                <w:sz w:val="20"/>
                <w:szCs w:val="20"/>
              </w:rPr>
            </w:pPr>
            <w:r>
              <w:rPr>
                <w:sz w:val="20"/>
                <w:szCs w:val="20"/>
              </w:rPr>
              <w:t>Morning and evening mee</w:t>
            </w:r>
            <w:r w:rsidR="002975ED">
              <w:rPr>
                <w:sz w:val="20"/>
                <w:szCs w:val="20"/>
              </w:rPr>
              <w:t>tings address staffing resource, patient demand and acuity using the</w:t>
            </w:r>
            <w:r w:rsidR="006D229E">
              <w:rPr>
                <w:sz w:val="20"/>
                <w:szCs w:val="20"/>
              </w:rPr>
              <w:t xml:space="preserve"> VRMG report.  The organisation is considering utilisation and acuity over occupancy now.</w:t>
            </w:r>
          </w:p>
          <w:p w:rsidR="00AF78BC" w:rsidRDefault="00AF78BC" w:rsidP="00AF78BC">
            <w:pPr>
              <w:pStyle w:val="ListParagraph"/>
              <w:numPr>
                <w:ilvl w:val="0"/>
                <w:numId w:val="32"/>
              </w:numPr>
              <w:rPr>
                <w:sz w:val="20"/>
                <w:szCs w:val="20"/>
              </w:rPr>
            </w:pPr>
            <w:r>
              <w:rPr>
                <w:sz w:val="20"/>
                <w:szCs w:val="20"/>
              </w:rPr>
              <w:t xml:space="preserve">Acuity and staffing is </w:t>
            </w:r>
            <w:r w:rsidR="006D229E">
              <w:rPr>
                <w:sz w:val="20"/>
                <w:szCs w:val="20"/>
              </w:rPr>
              <w:t xml:space="preserve">further </w:t>
            </w:r>
            <w:r>
              <w:rPr>
                <w:sz w:val="20"/>
                <w:szCs w:val="20"/>
              </w:rPr>
              <w:t>considered at an 11am staffing meeting.</w:t>
            </w:r>
          </w:p>
          <w:p w:rsidR="00AF78BC" w:rsidRDefault="00411A24" w:rsidP="00AF78BC">
            <w:pPr>
              <w:pStyle w:val="ListParagraph"/>
              <w:numPr>
                <w:ilvl w:val="0"/>
                <w:numId w:val="32"/>
              </w:numPr>
              <w:rPr>
                <w:sz w:val="20"/>
                <w:szCs w:val="20"/>
              </w:rPr>
            </w:pPr>
            <w:r>
              <w:rPr>
                <w:sz w:val="20"/>
                <w:szCs w:val="20"/>
              </w:rPr>
              <w:t>The v</w:t>
            </w:r>
            <w:r w:rsidR="006D229E">
              <w:rPr>
                <w:sz w:val="20"/>
                <w:szCs w:val="20"/>
              </w:rPr>
              <w:t xml:space="preserve">ariance response staff </w:t>
            </w:r>
            <w:r>
              <w:rPr>
                <w:sz w:val="20"/>
                <w:szCs w:val="20"/>
              </w:rPr>
              <w:t>implementation has been very successful to assist redeployment and staff are feeling supported and safe to assist in other areas – this has resulted in increased redeployment throughout the organisation particularly during the lower utilisation during the Covid response.  Options for redeployment are less as the utilisation increases again displaying the staffing deficit in some areas.</w:t>
            </w:r>
          </w:p>
          <w:p w:rsidR="0016676D" w:rsidRPr="00AF78BC" w:rsidRDefault="0016676D" w:rsidP="00AF78BC">
            <w:pPr>
              <w:pStyle w:val="ListParagraph"/>
              <w:numPr>
                <w:ilvl w:val="0"/>
                <w:numId w:val="32"/>
              </w:numPr>
              <w:rPr>
                <w:sz w:val="20"/>
                <w:szCs w:val="20"/>
              </w:rPr>
            </w:pPr>
            <w:r>
              <w:rPr>
                <w:sz w:val="20"/>
                <w:szCs w:val="20"/>
              </w:rPr>
              <w:t xml:space="preserve">Unit specific escalation plans have been developed and implemented for Maternity and ED and are in progress for NICU.  This has enabled visibility of Maternity and ED to whole of organisation and an </w:t>
            </w:r>
            <w:r>
              <w:rPr>
                <w:sz w:val="20"/>
                <w:szCs w:val="20"/>
              </w:rPr>
              <w:lastRenderedPageBreak/>
              <w:t xml:space="preserve">organisational response when capacity exceeds demand.  Maternity, in particular, have found this has had a significant impact on the unit with a recognition of the move into escalation earlier which enables a targeted response to prevent further escalation. </w:t>
            </w:r>
          </w:p>
        </w:tc>
      </w:tr>
    </w:tbl>
    <w:p w:rsidR="0056526E" w:rsidRDefault="0056526E" w:rsidP="0056526E">
      <w:pPr>
        <w:pStyle w:val="NoSpacing"/>
      </w:pPr>
    </w:p>
    <w:tbl>
      <w:tblPr>
        <w:tblStyle w:val="TableGrid"/>
        <w:tblW w:w="0" w:type="auto"/>
        <w:tblLook w:val="04A0" w:firstRow="1" w:lastRow="0" w:firstColumn="1" w:lastColumn="0" w:noHBand="0" w:noVBand="1"/>
      </w:tblPr>
      <w:tblGrid>
        <w:gridCol w:w="3510"/>
        <w:gridCol w:w="4111"/>
        <w:gridCol w:w="3260"/>
        <w:gridCol w:w="3402"/>
      </w:tblGrid>
      <w:tr w:rsidR="0056526E" w:rsidTr="00352EC3">
        <w:tc>
          <w:tcPr>
            <w:tcW w:w="14283" w:type="dxa"/>
            <w:gridSpan w:val="4"/>
            <w:shd w:val="clear" w:color="auto" w:fill="BFB97F"/>
          </w:tcPr>
          <w:p w:rsidR="0056526E" w:rsidRPr="002112FE" w:rsidRDefault="0056526E" w:rsidP="000E0334">
            <w:pPr>
              <w:pStyle w:val="NoSpacing"/>
              <w:spacing w:before="60" w:after="60"/>
              <w:rPr>
                <w:b/>
              </w:rPr>
            </w:pPr>
            <w:r w:rsidRPr="002112FE">
              <w:rPr>
                <w:b/>
              </w:rPr>
              <w:t xml:space="preserve">Standard overall attainment </w:t>
            </w:r>
          </w:p>
        </w:tc>
      </w:tr>
      <w:tr w:rsidR="0056526E" w:rsidTr="000E0334">
        <w:tc>
          <w:tcPr>
            <w:tcW w:w="3510" w:type="dxa"/>
            <w:shd w:val="clear" w:color="auto" w:fill="auto"/>
          </w:tcPr>
          <w:p w:rsidR="0056526E" w:rsidRDefault="002749DA" w:rsidP="000E0334">
            <w:pPr>
              <w:pStyle w:val="NoSpacing"/>
              <w:spacing w:before="60" w:after="60"/>
            </w:pPr>
            <w:sdt>
              <w:sdtPr>
                <w:id w:val="-278495753"/>
                <w14:checkbox>
                  <w14:checked w14:val="0"/>
                  <w14:checkedState w14:val="2612" w14:font="MS Gothic"/>
                  <w14:uncheckedState w14:val="2610" w14:font="MS Gothic"/>
                </w14:checkbox>
              </w:sdtPr>
              <w:sdtEndPr/>
              <w:sdtContent>
                <w:r w:rsidR="0056526E">
                  <w:rPr>
                    <w:rFonts w:ascii="MS Gothic" w:eastAsia="MS Gothic" w:hint="eastAsia"/>
                  </w:rPr>
                  <w:t>☐</w:t>
                </w:r>
              </w:sdtContent>
            </w:sdt>
            <w:r w:rsidR="0056526E">
              <w:t xml:space="preserve"> NA – Not attained</w:t>
            </w:r>
          </w:p>
        </w:tc>
        <w:tc>
          <w:tcPr>
            <w:tcW w:w="4111" w:type="dxa"/>
            <w:shd w:val="clear" w:color="auto" w:fill="auto"/>
          </w:tcPr>
          <w:p w:rsidR="0056526E" w:rsidRDefault="002749DA" w:rsidP="000E0334">
            <w:pPr>
              <w:pStyle w:val="NoSpacing"/>
              <w:spacing w:before="60" w:after="60"/>
            </w:pPr>
            <w:sdt>
              <w:sdtPr>
                <w:id w:val="-930118334"/>
                <w14:checkbox>
                  <w14:checked w14:val="1"/>
                  <w14:checkedState w14:val="2612" w14:font="MS Gothic"/>
                  <w14:uncheckedState w14:val="2610" w14:font="MS Gothic"/>
                </w14:checkbox>
              </w:sdtPr>
              <w:sdtEndPr/>
              <w:sdtContent>
                <w:r w:rsidR="00700D15">
                  <w:rPr>
                    <w:rFonts w:ascii="MS Gothic" w:eastAsia="MS Gothic" w:hAnsi="MS Gothic" w:hint="eastAsia"/>
                  </w:rPr>
                  <w:t>☒</w:t>
                </w:r>
              </w:sdtContent>
            </w:sdt>
            <w:r w:rsidR="0056526E">
              <w:t xml:space="preserve"> PA – Partially attained </w:t>
            </w:r>
          </w:p>
        </w:tc>
        <w:tc>
          <w:tcPr>
            <w:tcW w:w="3260" w:type="dxa"/>
            <w:shd w:val="clear" w:color="auto" w:fill="auto"/>
          </w:tcPr>
          <w:p w:rsidR="0056526E" w:rsidRDefault="002749DA" w:rsidP="000E0334">
            <w:pPr>
              <w:pStyle w:val="NoSpacing"/>
              <w:spacing w:before="60" w:after="60"/>
            </w:pPr>
            <w:sdt>
              <w:sdtPr>
                <w:id w:val="-1861896019"/>
                <w14:checkbox>
                  <w14:checked w14:val="0"/>
                  <w14:checkedState w14:val="2612" w14:font="MS Gothic"/>
                  <w14:uncheckedState w14:val="2610" w14:font="MS Gothic"/>
                </w14:checkbox>
              </w:sdtPr>
              <w:sdtEndPr/>
              <w:sdtContent>
                <w:r w:rsidR="0056526E">
                  <w:rPr>
                    <w:rFonts w:ascii="MS Gothic" w:eastAsia="MS Gothic" w:hAnsi="MS Gothic" w:hint="eastAsia"/>
                  </w:rPr>
                  <w:t>☐</w:t>
                </w:r>
              </w:sdtContent>
            </w:sdt>
            <w:r w:rsidR="0056526E">
              <w:t xml:space="preserve"> FA – Fully attained</w:t>
            </w:r>
          </w:p>
        </w:tc>
        <w:tc>
          <w:tcPr>
            <w:tcW w:w="3402" w:type="dxa"/>
            <w:shd w:val="clear" w:color="auto" w:fill="auto"/>
          </w:tcPr>
          <w:p w:rsidR="0056526E" w:rsidRDefault="002749DA" w:rsidP="000E0334">
            <w:pPr>
              <w:pStyle w:val="NoSpacing"/>
              <w:spacing w:before="60" w:after="60"/>
            </w:pPr>
            <w:sdt>
              <w:sdtPr>
                <w:id w:val="658119027"/>
                <w14:checkbox>
                  <w14:checked w14:val="0"/>
                  <w14:checkedState w14:val="2612" w14:font="MS Gothic"/>
                  <w14:uncheckedState w14:val="2610" w14:font="MS Gothic"/>
                </w14:checkbox>
              </w:sdtPr>
              <w:sdtEndPr/>
              <w:sdtContent>
                <w:r w:rsidR="0056526E">
                  <w:rPr>
                    <w:rFonts w:ascii="MS Gothic" w:eastAsia="MS Gothic" w:hAnsi="MS Gothic" w:hint="eastAsia"/>
                  </w:rPr>
                  <w:t>☐</w:t>
                </w:r>
              </w:sdtContent>
            </w:sdt>
            <w:r w:rsidR="008F1BD0">
              <w:t xml:space="preserve"> CI – Continuous i</w:t>
            </w:r>
            <w:r w:rsidR="0056526E">
              <w:t xml:space="preserve">mprovement </w:t>
            </w:r>
          </w:p>
        </w:tc>
      </w:tr>
    </w:tbl>
    <w:p w:rsidR="0056526E" w:rsidRDefault="0056526E" w:rsidP="0056526E">
      <w:pPr>
        <w:pStyle w:val="NoSpacing"/>
      </w:pPr>
    </w:p>
    <w:tbl>
      <w:tblPr>
        <w:tblStyle w:val="TableGrid"/>
        <w:tblW w:w="0" w:type="auto"/>
        <w:tblLook w:val="04A0" w:firstRow="1" w:lastRow="0" w:firstColumn="1" w:lastColumn="0" w:noHBand="0" w:noVBand="1"/>
      </w:tblPr>
      <w:tblGrid>
        <w:gridCol w:w="14338"/>
      </w:tblGrid>
      <w:tr w:rsidR="0056526E" w:rsidTr="000E0334">
        <w:tc>
          <w:tcPr>
            <w:tcW w:w="14338" w:type="dxa"/>
            <w:tcBorders>
              <w:left w:val="nil"/>
              <w:bottom w:val="single" w:sz="4" w:space="0" w:color="auto"/>
              <w:right w:val="nil"/>
            </w:tcBorders>
          </w:tcPr>
          <w:p w:rsidR="0056526E" w:rsidRDefault="0056526E" w:rsidP="001E0349">
            <w:pPr>
              <w:spacing w:before="60" w:after="60"/>
              <w:rPr>
                <w:b/>
                <w:sz w:val="24"/>
              </w:rPr>
            </w:pPr>
            <w:r w:rsidRPr="006863C8">
              <w:rPr>
                <w:rStyle w:val="Heading3Char"/>
              </w:rPr>
              <w:t xml:space="preserve">Areas of </w:t>
            </w:r>
            <w:r w:rsidR="008F1BD0" w:rsidRPr="006863C8">
              <w:rPr>
                <w:rStyle w:val="Heading3Char"/>
              </w:rPr>
              <w:t>c</w:t>
            </w:r>
            <w:r w:rsidRPr="006863C8">
              <w:rPr>
                <w:rStyle w:val="Heading3Char"/>
              </w:rPr>
              <w:t>ommendation:</w:t>
            </w:r>
            <w:r>
              <w:rPr>
                <w:b/>
                <w:sz w:val="24"/>
              </w:rPr>
              <w:t xml:space="preserve"> </w:t>
            </w:r>
          </w:p>
          <w:p w:rsidR="00F2509B" w:rsidRDefault="006863C8" w:rsidP="00C35ADC">
            <w:pPr>
              <w:spacing w:before="60" w:after="60"/>
              <w:rPr>
                <w:sz w:val="24"/>
              </w:rPr>
            </w:pPr>
            <w:r>
              <w:rPr>
                <w:sz w:val="24"/>
              </w:rPr>
              <w:t xml:space="preserve">The ‘Week that Was’ meeting </w:t>
            </w:r>
            <w:r w:rsidR="00EB64AF">
              <w:rPr>
                <w:sz w:val="24"/>
              </w:rPr>
              <w:t>is providing</w:t>
            </w:r>
            <w:r w:rsidR="00687C1D">
              <w:rPr>
                <w:sz w:val="24"/>
              </w:rPr>
              <w:t xml:space="preserve"> clear visibility to budget holders, decision makers, professional leads and ward/unit managers of shifts below target, care hours variance, safe staffing reportable events, TrendCare accuracy and compliance, bureau requests (filled and unfilled) and projections/forecasts for the week ahead. This has led to improved decision making </w:t>
            </w:r>
            <w:r w:rsidR="00EB64AF">
              <w:rPr>
                <w:sz w:val="24"/>
              </w:rPr>
              <w:t>for daily redeployment, leave and planning for the week ahead as well as clear visibility of the impacts on the wards/units.</w:t>
            </w:r>
          </w:p>
          <w:p w:rsidR="00EB64AF" w:rsidRDefault="00EB64AF" w:rsidP="00C35ADC">
            <w:pPr>
              <w:spacing w:before="60" w:after="60"/>
              <w:rPr>
                <w:sz w:val="24"/>
              </w:rPr>
            </w:pPr>
            <w:r>
              <w:rPr>
                <w:sz w:val="24"/>
              </w:rPr>
              <w:t>The VRMG report is sent to DNMs and IOC decision makers 8 times in 24 hours enabling safe and effective real time decision making to support wards and units and patient safety.</w:t>
            </w:r>
          </w:p>
          <w:p w:rsidR="00EB64AF" w:rsidRDefault="00EB64AF" w:rsidP="00C35ADC">
            <w:pPr>
              <w:spacing w:before="60" w:after="60"/>
              <w:rPr>
                <w:sz w:val="24"/>
              </w:rPr>
            </w:pPr>
            <w:r>
              <w:rPr>
                <w:sz w:val="24"/>
              </w:rPr>
              <w:t>The implementation of the variance response staff task lists has been well received and is enabling safe and effective redeployment throughout the impatient areas with the ability for staff to feed back their experiences through an online survey.</w:t>
            </w:r>
          </w:p>
          <w:p w:rsidR="00F2509B" w:rsidRDefault="00EB64AF" w:rsidP="001E0349">
            <w:pPr>
              <w:spacing w:before="60" w:after="60"/>
              <w:rPr>
                <w:sz w:val="24"/>
              </w:rPr>
            </w:pPr>
            <w:r>
              <w:rPr>
                <w:sz w:val="24"/>
              </w:rPr>
              <w:t>The CaaG screen development has involved utilising the existing Occupancy at a Glance platform and functionality and has grown its capacity and sophistication to include variance response management tools – variance indicator score for wards and the overall hospital, acuity and overarching hospital variance, expected admissions and discharges and open, occupied and resourced beds.</w:t>
            </w:r>
            <w:r w:rsidR="000060DE">
              <w:rPr>
                <w:sz w:val="24"/>
              </w:rPr>
              <w:t xml:space="preserve">  This also includes embedded standard operating procedures and reporting capability to enable CCDHB to meet Ministry of Health reporting requirements.</w:t>
            </w:r>
          </w:p>
          <w:p w:rsidR="000060DE" w:rsidRPr="000060DE" w:rsidRDefault="000060DE" w:rsidP="001E0349">
            <w:pPr>
              <w:spacing w:before="60" w:after="60"/>
              <w:rPr>
                <w:sz w:val="24"/>
              </w:rPr>
            </w:pPr>
          </w:p>
        </w:tc>
      </w:tr>
      <w:tr w:rsidR="0056526E" w:rsidTr="000E0334">
        <w:tc>
          <w:tcPr>
            <w:tcW w:w="14338" w:type="dxa"/>
            <w:tcBorders>
              <w:left w:val="nil"/>
              <w:right w:val="nil"/>
            </w:tcBorders>
          </w:tcPr>
          <w:p w:rsidR="001E0349" w:rsidRDefault="0056526E" w:rsidP="000E0334">
            <w:pPr>
              <w:spacing w:before="60" w:after="60"/>
              <w:rPr>
                <w:b/>
                <w:sz w:val="24"/>
              </w:rPr>
            </w:pPr>
            <w:r w:rsidRPr="006863C8">
              <w:rPr>
                <w:rStyle w:val="Heading3Char"/>
              </w:rPr>
              <w:t>Areas for improvement opportunities:</w:t>
            </w:r>
            <w:r>
              <w:rPr>
                <w:b/>
                <w:sz w:val="24"/>
              </w:rPr>
              <w:t xml:space="preserve"> </w:t>
            </w:r>
          </w:p>
          <w:p w:rsidR="0056526E" w:rsidRDefault="000060DE" w:rsidP="000E0334">
            <w:pPr>
              <w:spacing w:before="60" w:after="60"/>
              <w:rPr>
                <w:sz w:val="24"/>
              </w:rPr>
            </w:pPr>
            <w:r>
              <w:rPr>
                <w:sz w:val="24"/>
              </w:rPr>
              <w:t>Implementation of the CaaG screen to enable 24/7 visibility in all inpatient areas including variance indicator scoring and acuity.</w:t>
            </w:r>
          </w:p>
          <w:p w:rsidR="000060DE" w:rsidRDefault="000060DE" w:rsidP="000060DE">
            <w:pPr>
              <w:spacing w:before="60" w:after="60"/>
              <w:rPr>
                <w:sz w:val="24"/>
              </w:rPr>
            </w:pPr>
            <w:r>
              <w:rPr>
                <w:sz w:val="24"/>
              </w:rPr>
              <w:t>Implementation of variance indicator scoring for allied health.</w:t>
            </w:r>
          </w:p>
          <w:p w:rsidR="000060DE" w:rsidRPr="00F2509B" w:rsidRDefault="000060DE" w:rsidP="000060DE">
            <w:pPr>
              <w:spacing w:before="60" w:after="60"/>
              <w:rPr>
                <w:sz w:val="24"/>
              </w:rPr>
            </w:pPr>
          </w:p>
        </w:tc>
      </w:tr>
    </w:tbl>
    <w:p w:rsidR="004E6ABD" w:rsidRDefault="004E6ABD" w:rsidP="0079333A"/>
    <w:sectPr w:rsidR="004E6ABD" w:rsidSect="00E80D49">
      <w:headerReference w:type="even" r:id="rId9"/>
      <w:headerReference w:type="default" r:id="rId10"/>
      <w:footerReference w:type="even" r:id="rId11"/>
      <w:footerReference w:type="default" r:id="rId12"/>
      <w:headerReference w:type="first" r:id="rId13"/>
      <w:footerReference w:type="first" r:id="rId14"/>
      <w:pgSz w:w="16840" w:h="11900" w:orient="landscape"/>
      <w:pgMar w:top="993" w:right="1135" w:bottom="1134" w:left="993"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4AF" w:rsidRDefault="00EB64AF" w:rsidP="00D318E2">
      <w:r>
        <w:separator/>
      </w:r>
    </w:p>
  </w:endnote>
  <w:endnote w:type="continuationSeparator" w:id="0">
    <w:p w:rsidR="00EB64AF" w:rsidRDefault="00EB64AF" w:rsidP="00D3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16" w:rsidRDefault="00C34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AF" w:rsidRDefault="00EB64AF" w:rsidP="00643396">
    <w:pPr>
      <w:pStyle w:val="FooterText"/>
      <w:spacing w:line="360" w:lineRule="auto"/>
    </w:pPr>
    <w:r>
      <w:rPr>
        <w:noProof/>
        <w:lang w:eastAsia="en-NZ"/>
      </w:rPr>
      <w:drawing>
        <wp:anchor distT="0" distB="0" distL="114300" distR="114300" simplePos="0" relativeHeight="251657216" behindDoc="1" locked="0" layoutInCell="1" allowOverlap="1" wp14:anchorId="78466207" wp14:editId="528000E8">
          <wp:simplePos x="0" y="0"/>
          <wp:positionH relativeFrom="page">
            <wp:posOffset>254000</wp:posOffset>
          </wp:positionH>
          <wp:positionV relativeFrom="page">
            <wp:posOffset>6861589</wp:posOffset>
          </wp:positionV>
          <wp:extent cx="10180800" cy="3564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methodology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0800" cy="356400"/>
                  </a:xfrm>
                  <a:prstGeom prst="rect">
                    <a:avLst/>
                  </a:prstGeom>
                </pic:spPr>
              </pic:pic>
            </a:graphicData>
          </a:graphic>
          <wp14:sizeRelH relativeFrom="margin">
            <wp14:pctWidth>0</wp14:pctWidth>
          </wp14:sizeRelH>
          <wp14:sizeRelV relativeFrom="margin">
            <wp14:pctHeight>0</wp14:pctHeight>
          </wp14:sizeRelV>
        </wp:anchor>
      </w:drawing>
    </w:r>
    <w:fldSimple w:instr=" FILENAME \* MERGEFORMAT ">
      <w:r w:rsidR="00C34D16">
        <w:rPr>
          <w:noProof/>
        </w:rPr>
        <w:t>2020 CCDM programme standards assessment</w:t>
      </w:r>
    </w:fldSimple>
    <w:r>
      <w:tab/>
    </w:r>
    <w:r>
      <w:tab/>
    </w:r>
    <w:sdt>
      <w:sdtPr>
        <w:id w:val="-1202627915"/>
        <w:docPartObj>
          <w:docPartGallery w:val="Page Numbers (Bottom of Page)"/>
          <w:docPartUnique/>
        </w:docPartObj>
      </w:sdtPr>
      <w:sdtEndPr/>
      <w:sdtContent>
        <w:sdt>
          <w:sdtPr>
            <w:id w:val="664663481"/>
            <w:docPartObj>
              <w:docPartGallery w:val="Page Numbers (Top of Page)"/>
              <w:docPartUnique/>
            </w:docPartObj>
          </w:sdtPr>
          <w:sdtEndPr/>
          <w:sdtContent>
            <w:r>
              <w:tab/>
            </w:r>
            <w:r>
              <w:tab/>
            </w:r>
            <w:r>
              <w:tab/>
            </w:r>
            <w:r>
              <w:tab/>
            </w:r>
            <w:r>
              <w:tab/>
            </w:r>
            <w:r>
              <w:tab/>
            </w:r>
            <w:r>
              <w:tab/>
            </w:r>
            <w:r>
              <w:tab/>
            </w:r>
            <w:r>
              <w:tab/>
              <w:t xml:space="preserve">Page </w:t>
            </w:r>
            <w:r>
              <w:rPr>
                <w:bCs/>
                <w:sz w:val="24"/>
                <w:szCs w:val="24"/>
              </w:rPr>
              <w:fldChar w:fldCharType="begin"/>
            </w:r>
            <w:r>
              <w:rPr>
                <w:bCs/>
              </w:rPr>
              <w:instrText xml:space="preserve"> PAGE </w:instrText>
            </w:r>
            <w:r>
              <w:rPr>
                <w:bCs/>
                <w:sz w:val="24"/>
                <w:szCs w:val="24"/>
              </w:rPr>
              <w:fldChar w:fldCharType="separate"/>
            </w:r>
            <w:r w:rsidR="002749DA">
              <w:rPr>
                <w:bCs/>
                <w:noProof/>
              </w:rPr>
              <w:t>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749DA">
              <w:rPr>
                <w:bCs/>
                <w:noProof/>
              </w:rPr>
              <w:t>18</w:t>
            </w:r>
            <w:r>
              <w:rPr>
                <w:bCs/>
                <w:sz w:val="24"/>
                <w:szCs w:val="24"/>
              </w:rPr>
              <w:fldChar w:fldCharType="end"/>
            </w:r>
          </w:sdtContent>
        </w:sdt>
      </w:sdtContent>
    </w:sdt>
  </w:p>
  <w:p w:rsidR="00EB64AF" w:rsidRPr="00643396" w:rsidRDefault="00EB64AF">
    <w:pPr>
      <w:pStyle w:val="Footer"/>
      <w:rPr>
        <w:sz w:val="20"/>
      </w:rPr>
    </w:pPr>
    <w:r w:rsidRPr="00643396">
      <w:rPr>
        <w:sz w:val="20"/>
      </w:rPr>
      <w:t>© Ministry of Health</w:t>
    </w:r>
    <w:r>
      <w:rPr>
        <w:sz w:val="20"/>
      </w:rPr>
      <w:t>, NZ</w:t>
    </w:r>
    <w:r w:rsidRPr="00643396">
      <w:rPr>
        <w:sz w:val="20"/>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16" w:rsidRDefault="00C34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4AF" w:rsidRDefault="00EB64AF" w:rsidP="00D318E2">
      <w:r>
        <w:separator/>
      </w:r>
    </w:p>
  </w:footnote>
  <w:footnote w:type="continuationSeparator" w:id="0">
    <w:p w:rsidR="00EB64AF" w:rsidRDefault="00EB64AF" w:rsidP="00D31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16" w:rsidRDefault="00C34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AF" w:rsidRPr="004E6ABD" w:rsidRDefault="00EB64AF" w:rsidP="004E6ABD">
    <w:pPr>
      <w:pStyle w:val="HeaderText"/>
    </w:pPr>
    <w:r>
      <w:t>CCDM Programme</w:t>
    </w:r>
    <w:r>
      <w:tab/>
    </w:r>
    <w:r>
      <w:tab/>
    </w:r>
    <w:r>
      <w:tab/>
    </w:r>
    <w:r>
      <w:tab/>
    </w:r>
    <w:r>
      <w:tab/>
    </w:r>
    <w:r>
      <w:tab/>
    </w:r>
    <w:r>
      <w:tab/>
    </w:r>
    <w:r>
      <w:tab/>
    </w:r>
    <w:r>
      <w:tab/>
    </w:r>
    <w:r>
      <w:tab/>
    </w:r>
    <w:r>
      <w:tab/>
    </w:r>
    <w:r>
      <w:tab/>
    </w:r>
    <w:r>
      <w:tab/>
    </w:r>
    <w:r>
      <w:tab/>
    </w:r>
    <w:r>
      <w:tab/>
      <w:t>CCDM governance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16" w:rsidRDefault="00C34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606"/>
    <w:multiLevelType w:val="hybridMultilevel"/>
    <w:tmpl w:val="C8002F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D1791F"/>
    <w:multiLevelType w:val="hybridMultilevel"/>
    <w:tmpl w:val="BF2ECA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6C21DE"/>
    <w:multiLevelType w:val="hybridMultilevel"/>
    <w:tmpl w:val="B6F8E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3B3D93"/>
    <w:multiLevelType w:val="hybridMultilevel"/>
    <w:tmpl w:val="D47417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CA81010"/>
    <w:multiLevelType w:val="hybridMultilevel"/>
    <w:tmpl w:val="EDAC90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DF2A9D"/>
    <w:multiLevelType w:val="hybridMultilevel"/>
    <w:tmpl w:val="27A42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0B1860"/>
    <w:multiLevelType w:val="hybridMultilevel"/>
    <w:tmpl w:val="A4889F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1CF3F59"/>
    <w:multiLevelType w:val="hybridMultilevel"/>
    <w:tmpl w:val="EB42C8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29C551C"/>
    <w:multiLevelType w:val="hybridMultilevel"/>
    <w:tmpl w:val="934E8B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4B66451"/>
    <w:multiLevelType w:val="hybridMultilevel"/>
    <w:tmpl w:val="65B06D5C"/>
    <w:lvl w:ilvl="0" w:tplc="C6CC117E">
      <w:start w:val="1"/>
      <w:numFmt w:val="bullet"/>
      <w:pStyle w:val="Bullets"/>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0" w15:restartNumberingAfterBreak="0">
    <w:nsid w:val="37A149D0"/>
    <w:multiLevelType w:val="hybridMultilevel"/>
    <w:tmpl w:val="F872C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B527FC2"/>
    <w:multiLevelType w:val="hybridMultilevel"/>
    <w:tmpl w:val="327043C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4214474D"/>
    <w:multiLevelType w:val="hybridMultilevel"/>
    <w:tmpl w:val="5C4C4444"/>
    <w:lvl w:ilvl="0" w:tplc="55BA46E2">
      <w:start w:val="1"/>
      <w:numFmt w:val="decimal"/>
      <w:lvlText w:val="4.%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56C7D60"/>
    <w:multiLevelType w:val="multilevel"/>
    <w:tmpl w:val="5B6CC444"/>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15:restartNumberingAfterBreak="0">
    <w:nsid w:val="4FDE5085"/>
    <w:multiLevelType w:val="hybridMultilevel"/>
    <w:tmpl w:val="683077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36F00EB"/>
    <w:multiLevelType w:val="hybridMultilevel"/>
    <w:tmpl w:val="FF0400C0"/>
    <w:lvl w:ilvl="0" w:tplc="9BCEBC5E">
      <w:start w:val="1"/>
      <w:numFmt w:val="decimal"/>
      <w:lvlText w:val="1.%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566F1B41"/>
    <w:multiLevelType w:val="hybridMultilevel"/>
    <w:tmpl w:val="67ACA06E"/>
    <w:lvl w:ilvl="0" w:tplc="053AE7BA">
      <w:start w:val="1"/>
      <w:numFmt w:val="decimal"/>
      <w:pStyle w:val="Numbering"/>
      <w:lvlText w:val="%1."/>
      <w:lvlJc w:val="left"/>
      <w:pPr>
        <w:ind w:left="720" w:hanging="360"/>
      </w:pPr>
      <w:rPr>
        <w:rFonts w:ascii="Segoe UI" w:hAnsi="Segoe UI" w:cs="Segoe U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8724D15"/>
    <w:multiLevelType w:val="hybridMultilevel"/>
    <w:tmpl w:val="C226DD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B687C1F"/>
    <w:multiLevelType w:val="hybridMultilevel"/>
    <w:tmpl w:val="D79ABC84"/>
    <w:lvl w:ilvl="0" w:tplc="87E4A024">
      <w:start w:val="1"/>
      <w:numFmt w:val="bullet"/>
      <w:lvlText w:val=""/>
      <w:lvlJc w:val="left"/>
      <w:pPr>
        <w:ind w:left="720" w:hanging="360"/>
      </w:pPr>
      <w:rPr>
        <w:rFonts w:ascii="Symbol" w:hAnsi="Symbol" w:hint="default"/>
      </w:rPr>
    </w:lvl>
    <w:lvl w:ilvl="1" w:tplc="144C067A">
      <w:start w:val="1"/>
      <w:numFmt w:val="bullet"/>
      <w:lvlText w:val="o"/>
      <w:lvlJc w:val="left"/>
      <w:pPr>
        <w:ind w:left="1440" w:hanging="360"/>
      </w:pPr>
      <w:rPr>
        <w:rFonts w:ascii="Courier New" w:hAnsi="Courier New" w:cs="Courier New" w:hint="default"/>
      </w:rPr>
    </w:lvl>
    <w:lvl w:ilvl="2" w:tplc="DDAE196C">
      <w:start w:val="1"/>
      <w:numFmt w:val="bullet"/>
      <w:lvlText w:val=""/>
      <w:lvlJc w:val="left"/>
      <w:pPr>
        <w:ind w:left="2160" w:hanging="360"/>
      </w:pPr>
      <w:rPr>
        <w:rFonts w:ascii="Wingdings" w:hAnsi="Wingdings" w:hint="default"/>
      </w:rPr>
    </w:lvl>
    <w:lvl w:ilvl="3" w:tplc="9132B3C4" w:tentative="1">
      <w:start w:val="1"/>
      <w:numFmt w:val="bullet"/>
      <w:lvlText w:val=""/>
      <w:lvlJc w:val="left"/>
      <w:pPr>
        <w:ind w:left="2880" w:hanging="360"/>
      </w:pPr>
      <w:rPr>
        <w:rFonts w:ascii="Symbol" w:hAnsi="Symbol" w:hint="default"/>
      </w:rPr>
    </w:lvl>
    <w:lvl w:ilvl="4" w:tplc="E89A05F6" w:tentative="1">
      <w:start w:val="1"/>
      <w:numFmt w:val="bullet"/>
      <w:lvlText w:val="o"/>
      <w:lvlJc w:val="left"/>
      <w:pPr>
        <w:ind w:left="3600" w:hanging="360"/>
      </w:pPr>
      <w:rPr>
        <w:rFonts w:ascii="Courier New" w:hAnsi="Courier New" w:cs="Courier New" w:hint="default"/>
      </w:rPr>
    </w:lvl>
    <w:lvl w:ilvl="5" w:tplc="F2A8C60A" w:tentative="1">
      <w:start w:val="1"/>
      <w:numFmt w:val="bullet"/>
      <w:lvlText w:val=""/>
      <w:lvlJc w:val="left"/>
      <w:pPr>
        <w:ind w:left="4320" w:hanging="360"/>
      </w:pPr>
      <w:rPr>
        <w:rFonts w:ascii="Wingdings" w:hAnsi="Wingdings" w:hint="default"/>
      </w:rPr>
    </w:lvl>
    <w:lvl w:ilvl="6" w:tplc="15B297C6" w:tentative="1">
      <w:start w:val="1"/>
      <w:numFmt w:val="bullet"/>
      <w:lvlText w:val=""/>
      <w:lvlJc w:val="left"/>
      <w:pPr>
        <w:ind w:left="5040" w:hanging="360"/>
      </w:pPr>
      <w:rPr>
        <w:rFonts w:ascii="Symbol" w:hAnsi="Symbol" w:hint="default"/>
      </w:rPr>
    </w:lvl>
    <w:lvl w:ilvl="7" w:tplc="22383C5E" w:tentative="1">
      <w:start w:val="1"/>
      <w:numFmt w:val="bullet"/>
      <w:lvlText w:val="o"/>
      <w:lvlJc w:val="left"/>
      <w:pPr>
        <w:ind w:left="5760" w:hanging="360"/>
      </w:pPr>
      <w:rPr>
        <w:rFonts w:ascii="Courier New" w:hAnsi="Courier New" w:cs="Courier New" w:hint="default"/>
      </w:rPr>
    </w:lvl>
    <w:lvl w:ilvl="8" w:tplc="5D90ECD6" w:tentative="1">
      <w:start w:val="1"/>
      <w:numFmt w:val="bullet"/>
      <w:lvlText w:val=""/>
      <w:lvlJc w:val="left"/>
      <w:pPr>
        <w:ind w:left="6480" w:hanging="360"/>
      </w:pPr>
      <w:rPr>
        <w:rFonts w:ascii="Wingdings" w:hAnsi="Wingdings" w:hint="default"/>
      </w:rPr>
    </w:lvl>
  </w:abstractNum>
  <w:abstractNum w:abstractNumId="19" w15:restartNumberingAfterBreak="0">
    <w:nsid w:val="5B8B2FCB"/>
    <w:multiLevelType w:val="hybridMultilevel"/>
    <w:tmpl w:val="881E5D52"/>
    <w:lvl w:ilvl="0" w:tplc="14090001">
      <w:start w:val="1"/>
      <w:numFmt w:val="bullet"/>
      <w:lvlText w:val=""/>
      <w:lvlJc w:val="left"/>
      <w:pPr>
        <w:ind w:left="1179" w:hanging="360"/>
      </w:pPr>
      <w:rPr>
        <w:rFonts w:ascii="Symbol" w:hAnsi="Symbol" w:hint="default"/>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20" w15:restartNumberingAfterBreak="0">
    <w:nsid w:val="624E1059"/>
    <w:multiLevelType w:val="hybridMultilevel"/>
    <w:tmpl w:val="73920D7A"/>
    <w:lvl w:ilvl="0" w:tplc="3544CFA6">
      <w:start w:val="1"/>
      <w:numFmt w:val="decimal"/>
      <w:lvlText w:val="3.%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62FD401B"/>
    <w:multiLevelType w:val="hybridMultilevel"/>
    <w:tmpl w:val="3F006560"/>
    <w:lvl w:ilvl="0" w:tplc="BEB841B2">
      <w:start w:val="1"/>
      <w:numFmt w:val="bullet"/>
      <w:pStyle w:val="Bullet2"/>
      <w:lvlText w:val=""/>
      <w:lvlJc w:val="left"/>
      <w:pPr>
        <w:ind w:left="1004" w:hanging="360"/>
      </w:pPr>
      <w:rPr>
        <w:rFonts w:ascii="Symbol" w:hAnsi="Symbol" w:hint="default"/>
        <w:sz w:val="22"/>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2" w15:restartNumberingAfterBreak="0">
    <w:nsid w:val="647F3251"/>
    <w:multiLevelType w:val="hybridMultilevel"/>
    <w:tmpl w:val="42C63316"/>
    <w:lvl w:ilvl="0" w:tplc="9F4A6082">
      <w:start w:val="1"/>
      <w:numFmt w:val="decimal"/>
      <w:lvlText w:val="2.%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67C548CE"/>
    <w:multiLevelType w:val="hybridMultilevel"/>
    <w:tmpl w:val="80F0DC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8320D5C"/>
    <w:multiLevelType w:val="hybridMultilevel"/>
    <w:tmpl w:val="05FE49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9D26B07"/>
    <w:multiLevelType w:val="hybridMultilevel"/>
    <w:tmpl w:val="79AEA0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1A81CD1"/>
    <w:multiLevelType w:val="hybridMultilevel"/>
    <w:tmpl w:val="5AC6BB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9254ECD"/>
    <w:multiLevelType w:val="hybridMultilevel"/>
    <w:tmpl w:val="03843C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9C42670"/>
    <w:multiLevelType w:val="hybridMultilevel"/>
    <w:tmpl w:val="93E085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AD5174B"/>
    <w:multiLevelType w:val="hybridMultilevel"/>
    <w:tmpl w:val="92E61C42"/>
    <w:lvl w:ilvl="0" w:tplc="10C0D7C6">
      <w:start w:val="1"/>
      <w:numFmt w:val="decimal"/>
      <w:lvlText w:val="5.%1"/>
      <w:lvlJc w:val="left"/>
      <w:pPr>
        <w:ind w:left="578" w:hanging="360"/>
      </w:pPr>
      <w:rPr>
        <w:rFonts w:hint="default"/>
      </w:r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num w:numId="1">
    <w:abstractNumId w:val="18"/>
  </w:num>
  <w:num w:numId="2">
    <w:abstractNumId w:val="16"/>
  </w:num>
  <w:num w:numId="3">
    <w:abstractNumId w:val="18"/>
  </w:num>
  <w:num w:numId="4">
    <w:abstractNumId w:val="16"/>
  </w:num>
  <w:num w:numId="5">
    <w:abstractNumId w:val="9"/>
  </w:num>
  <w:num w:numId="6">
    <w:abstractNumId w:val="21"/>
  </w:num>
  <w:num w:numId="7">
    <w:abstractNumId w:val="2"/>
  </w:num>
  <w:num w:numId="8">
    <w:abstractNumId w:val="1"/>
  </w:num>
  <w:num w:numId="9">
    <w:abstractNumId w:val="15"/>
  </w:num>
  <w:num w:numId="10">
    <w:abstractNumId w:val="22"/>
  </w:num>
  <w:num w:numId="11">
    <w:abstractNumId w:val="13"/>
  </w:num>
  <w:num w:numId="12">
    <w:abstractNumId w:val="20"/>
  </w:num>
  <w:num w:numId="13">
    <w:abstractNumId w:val="12"/>
  </w:num>
  <w:num w:numId="14">
    <w:abstractNumId w:val="29"/>
  </w:num>
  <w:num w:numId="15">
    <w:abstractNumId w:val="5"/>
  </w:num>
  <w:num w:numId="16">
    <w:abstractNumId w:val="19"/>
  </w:num>
  <w:num w:numId="17">
    <w:abstractNumId w:val="4"/>
  </w:num>
  <w:num w:numId="18">
    <w:abstractNumId w:val="17"/>
  </w:num>
  <w:num w:numId="19">
    <w:abstractNumId w:val="11"/>
  </w:num>
  <w:num w:numId="20">
    <w:abstractNumId w:val="10"/>
  </w:num>
  <w:num w:numId="21">
    <w:abstractNumId w:val="24"/>
  </w:num>
  <w:num w:numId="22">
    <w:abstractNumId w:val="23"/>
  </w:num>
  <w:num w:numId="23">
    <w:abstractNumId w:val="14"/>
  </w:num>
  <w:num w:numId="24">
    <w:abstractNumId w:val="6"/>
  </w:num>
  <w:num w:numId="25">
    <w:abstractNumId w:val="27"/>
  </w:num>
  <w:num w:numId="26">
    <w:abstractNumId w:val="0"/>
  </w:num>
  <w:num w:numId="27">
    <w:abstractNumId w:val="3"/>
  </w:num>
  <w:num w:numId="28">
    <w:abstractNumId w:val="8"/>
  </w:num>
  <w:num w:numId="29">
    <w:abstractNumId w:val="7"/>
  </w:num>
  <w:num w:numId="30">
    <w:abstractNumId w:val="28"/>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54"/>
    <w:rsid w:val="000060DE"/>
    <w:rsid w:val="00050C60"/>
    <w:rsid w:val="00051E86"/>
    <w:rsid w:val="0006260B"/>
    <w:rsid w:val="00081AC6"/>
    <w:rsid w:val="000E0334"/>
    <w:rsid w:val="000F1354"/>
    <w:rsid w:val="000F3CB4"/>
    <w:rsid w:val="000F632F"/>
    <w:rsid w:val="00126E82"/>
    <w:rsid w:val="00164BA1"/>
    <w:rsid w:val="0016676D"/>
    <w:rsid w:val="001818D8"/>
    <w:rsid w:val="001A4515"/>
    <w:rsid w:val="001B5D54"/>
    <w:rsid w:val="001E0349"/>
    <w:rsid w:val="00232731"/>
    <w:rsid w:val="00235BBD"/>
    <w:rsid w:val="00243C09"/>
    <w:rsid w:val="00253B28"/>
    <w:rsid w:val="002605E9"/>
    <w:rsid w:val="002749DA"/>
    <w:rsid w:val="002975ED"/>
    <w:rsid w:val="002A4BA0"/>
    <w:rsid w:val="002A6B68"/>
    <w:rsid w:val="002B3D8B"/>
    <w:rsid w:val="002C6766"/>
    <w:rsid w:val="0031579E"/>
    <w:rsid w:val="00316B68"/>
    <w:rsid w:val="00352EC3"/>
    <w:rsid w:val="003A56D7"/>
    <w:rsid w:val="003B7E16"/>
    <w:rsid w:val="003E39BA"/>
    <w:rsid w:val="003F6006"/>
    <w:rsid w:val="00411A24"/>
    <w:rsid w:val="00423F99"/>
    <w:rsid w:val="00460AE6"/>
    <w:rsid w:val="00465137"/>
    <w:rsid w:val="004708AB"/>
    <w:rsid w:val="00486067"/>
    <w:rsid w:val="004E6ABD"/>
    <w:rsid w:val="004F295A"/>
    <w:rsid w:val="00501245"/>
    <w:rsid w:val="00503A3A"/>
    <w:rsid w:val="005201CE"/>
    <w:rsid w:val="005315CD"/>
    <w:rsid w:val="00537F60"/>
    <w:rsid w:val="00553B7A"/>
    <w:rsid w:val="00556FCE"/>
    <w:rsid w:val="0056526E"/>
    <w:rsid w:val="005824D3"/>
    <w:rsid w:val="005B7D5B"/>
    <w:rsid w:val="00612685"/>
    <w:rsid w:val="00633354"/>
    <w:rsid w:val="006368E5"/>
    <w:rsid w:val="00643396"/>
    <w:rsid w:val="00655A2C"/>
    <w:rsid w:val="006565EF"/>
    <w:rsid w:val="00681A60"/>
    <w:rsid w:val="006863C8"/>
    <w:rsid w:val="00687C1D"/>
    <w:rsid w:val="0069364F"/>
    <w:rsid w:val="006A0C21"/>
    <w:rsid w:val="006B3205"/>
    <w:rsid w:val="006C7546"/>
    <w:rsid w:val="006D10B8"/>
    <w:rsid w:val="006D229E"/>
    <w:rsid w:val="006E5726"/>
    <w:rsid w:val="006E6F00"/>
    <w:rsid w:val="00700D15"/>
    <w:rsid w:val="00727F68"/>
    <w:rsid w:val="00734BF7"/>
    <w:rsid w:val="00785140"/>
    <w:rsid w:val="0079333A"/>
    <w:rsid w:val="007A0AD7"/>
    <w:rsid w:val="007A275E"/>
    <w:rsid w:val="007A47B6"/>
    <w:rsid w:val="007D4966"/>
    <w:rsid w:val="007F1935"/>
    <w:rsid w:val="00803DF8"/>
    <w:rsid w:val="00807ABC"/>
    <w:rsid w:val="00826170"/>
    <w:rsid w:val="00837FEE"/>
    <w:rsid w:val="0088322C"/>
    <w:rsid w:val="00893A00"/>
    <w:rsid w:val="008B1C02"/>
    <w:rsid w:val="008C2494"/>
    <w:rsid w:val="008E27D3"/>
    <w:rsid w:val="008E5B47"/>
    <w:rsid w:val="008F1BD0"/>
    <w:rsid w:val="008F5B0B"/>
    <w:rsid w:val="008F5DE8"/>
    <w:rsid w:val="00911686"/>
    <w:rsid w:val="00917C95"/>
    <w:rsid w:val="00931259"/>
    <w:rsid w:val="00933007"/>
    <w:rsid w:val="009362E1"/>
    <w:rsid w:val="00961F09"/>
    <w:rsid w:val="009817DD"/>
    <w:rsid w:val="009915C2"/>
    <w:rsid w:val="009D41BD"/>
    <w:rsid w:val="009D69E1"/>
    <w:rsid w:val="009E26DF"/>
    <w:rsid w:val="009F642F"/>
    <w:rsid w:val="00A00945"/>
    <w:rsid w:val="00A0344C"/>
    <w:rsid w:val="00A4610A"/>
    <w:rsid w:val="00A77E2B"/>
    <w:rsid w:val="00AB67D2"/>
    <w:rsid w:val="00AE2B01"/>
    <w:rsid w:val="00AE5194"/>
    <w:rsid w:val="00AF44DB"/>
    <w:rsid w:val="00AF78BC"/>
    <w:rsid w:val="00B255F0"/>
    <w:rsid w:val="00B8266B"/>
    <w:rsid w:val="00B901EC"/>
    <w:rsid w:val="00B946E1"/>
    <w:rsid w:val="00BA20A0"/>
    <w:rsid w:val="00BD6A68"/>
    <w:rsid w:val="00C1197D"/>
    <w:rsid w:val="00C11A46"/>
    <w:rsid w:val="00C15950"/>
    <w:rsid w:val="00C22B82"/>
    <w:rsid w:val="00C34D16"/>
    <w:rsid w:val="00C35ADC"/>
    <w:rsid w:val="00C422EF"/>
    <w:rsid w:val="00C50425"/>
    <w:rsid w:val="00C76051"/>
    <w:rsid w:val="00CC1DD6"/>
    <w:rsid w:val="00CD3E6B"/>
    <w:rsid w:val="00D21307"/>
    <w:rsid w:val="00D318E2"/>
    <w:rsid w:val="00D7262E"/>
    <w:rsid w:val="00D775D2"/>
    <w:rsid w:val="00DA7081"/>
    <w:rsid w:val="00DB236F"/>
    <w:rsid w:val="00DC4B2E"/>
    <w:rsid w:val="00DD350A"/>
    <w:rsid w:val="00DE3B2D"/>
    <w:rsid w:val="00E02761"/>
    <w:rsid w:val="00E230DC"/>
    <w:rsid w:val="00E80D49"/>
    <w:rsid w:val="00EB2D06"/>
    <w:rsid w:val="00EB64AF"/>
    <w:rsid w:val="00EB6C11"/>
    <w:rsid w:val="00EE1F79"/>
    <w:rsid w:val="00EE4EA4"/>
    <w:rsid w:val="00EF1E8E"/>
    <w:rsid w:val="00F041AB"/>
    <w:rsid w:val="00F20150"/>
    <w:rsid w:val="00F24B55"/>
    <w:rsid w:val="00F2509B"/>
    <w:rsid w:val="00F3508F"/>
    <w:rsid w:val="00F405C5"/>
    <w:rsid w:val="00F50307"/>
    <w:rsid w:val="00F56698"/>
    <w:rsid w:val="00F80A73"/>
    <w:rsid w:val="00FB5809"/>
    <w:rsid w:val="00FC6600"/>
    <w:rsid w:val="00FC6ACA"/>
    <w:rsid w:val="00FD3214"/>
    <w:rsid w:val="00FD48AA"/>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2F7C510"/>
  <w15:docId w15:val="{845AE1BD-820F-45D5-98CD-48B846CA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EA4"/>
    <w:pPr>
      <w:spacing w:after="120" w:line="276" w:lineRule="auto"/>
      <w:jc w:val="both"/>
    </w:pPr>
    <w:rPr>
      <w:rFonts w:cs="Segoe UI"/>
      <w:sz w:val="22"/>
      <w:szCs w:val="22"/>
      <w:lang w:val="en-NZ"/>
    </w:rPr>
  </w:style>
  <w:style w:type="paragraph" w:styleId="Heading1">
    <w:name w:val="heading 1"/>
    <w:basedOn w:val="Normal"/>
    <w:next w:val="Normal"/>
    <w:link w:val="Heading1Char"/>
    <w:uiPriority w:val="9"/>
    <w:qFormat/>
    <w:rsid w:val="00BD6A68"/>
    <w:pPr>
      <w:keepNext/>
      <w:keepLines/>
      <w:spacing w:before="240" w:line="240" w:lineRule="auto"/>
      <w:outlineLvl w:val="0"/>
    </w:pPr>
    <w:rPr>
      <w:rFonts w:eastAsiaTheme="majorEastAsia" w:cs="Calibri"/>
      <w:bCs/>
      <w:color w:val="A79F53"/>
      <w:sz w:val="44"/>
      <w:szCs w:val="32"/>
    </w:rPr>
  </w:style>
  <w:style w:type="paragraph" w:styleId="Heading2">
    <w:name w:val="heading 2"/>
    <w:basedOn w:val="Normal"/>
    <w:next w:val="Normal"/>
    <w:link w:val="Heading2Char"/>
    <w:uiPriority w:val="9"/>
    <w:qFormat/>
    <w:rsid w:val="00FD48AA"/>
    <w:pPr>
      <w:spacing w:before="240" w:after="60" w:line="240" w:lineRule="auto"/>
      <w:outlineLvl w:val="1"/>
    </w:pPr>
    <w:rPr>
      <w:color w:val="A79F53"/>
      <w:sz w:val="28"/>
      <w:szCs w:val="28"/>
    </w:rPr>
  </w:style>
  <w:style w:type="paragraph" w:styleId="Heading3">
    <w:name w:val="heading 3"/>
    <w:basedOn w:val="Normal"/>
    <w:next w:val="Normal"/>
    <w:link w:val="Heading3Char"/>
    <w:uiPriority w:val="9"/>
    <w:qFormat/>
    <w:rsid w:val="00FD48AA"/>
    <w:pPr>
      <w:spacing w:before="120" w:after="60"/>
      <w:outlineLvl w:val="2"/>
    </w:pPr>
    <w:rPr>
      <w:i/>
      <w:color w:val="A79F53"/>
      <w:sz w:val="24"/>
      <w:szCs w:val="28"/>
    </w:rPr>
  </w:style>
  <w:style w:type="paragraph" w:styleId="Heading4">
    <w:name w:val="heading 4"/>
    <w:basedOn w:val="Normal"/>
    <w:next w:val="Normal"/>
    <w:link w:val="Heading4Char"/>
    <w:uiPriority w:val="9"/>
    <w:qFormat/>
    <w:rsid w:val="00E230DC"/>
    <w:pPr>
      <w:ind w:left="720"/>
      <w:outlineLvl w:val="3"/>
    </w:pPr>
    <w:rPr>
      <w:i/>
      <w:sz w:val="24"/>
      <w:szCs w:val="20"/>
    </w:rPr>
  </w:style>
  <w:style w:type="paragraph" w:styleId="Heading5">
    <w:name w:val="heading 5"/>
    <w:basedOn w:val="Normal"/>
    <w:next w:val="Normal"/>
    <w:link w:val="Heading5Char"/>
    <w:uiPriority w:val="9"/>
    <w:qFormat/>
    <w:rsid w:val="00E230DC"/>
    <w:pPr>
      <w:keepNext/>
      <w:keepLines/>
      <w:spacing w:before="200" w:after="0"/>
      <w:ind w:left="709"/>
      <w:outlineLvl w:val="4"/>
    </w:pPr>
    <w:rPr>
      <w:rFonts w:eastAsia="Times New Roman"/>
      <w:sz w:val="20"/>
      <w:szCs w:val="20"/>
      <w:u w:val="single"/>
    </w:rPr>
  </w:style>
  <w:style w:type="paragraph" w:styleId="Heading7">
    <w:name w:val="heading 7"/>
    <w:basedOn w:val="Normal"/>
    <w:next w:val="Normal"/>
    <w:link w:val="Heading7Char"/>
    <w:uiPriority w:val="9"/>
    <w:semiHidden/>
    <w:unhideWhenUsed/>
    <w:qFormat/>
    <w:rsid w:val="00E230DC"/>
    <w:pPr>
      <w:keepNext/>
      <w:keepLines/>
      <w:spacing w:before="200" w:after="0"/>
      <w:outlineLvl w:val="6"/>
    </w:pPr>
    <w:rPr>
      <w:rFonts w:eastAsia="Times New Roman" w:cs="Times New Roman"/>
      <w:i/>
      <w:iCs/>
      <w:color w:val="404040"/>
      <w:sz w:val="20"/>
      <w:szCs w:val="20"/>
    </w:rPr>
  </w:style>
  <w:style w:type="paragraph" w:styleId="Heading8">
    <w:name w:val="heading 8"/>
    <w:basedOn w:val="Normal"/>
    <w:next w:val="Normal"/>
    <w:link w:val="Heading8Char"/>
    <w:uiPriority w:val="9"/>
    <w:semiHidden/>
    <w:unhideWhenUsed/>
    <w:qFormat/>
    <w:rsid w:val="00E230DC"/>
    <w:pPr>
      <w:keepNext/>
      <w:keepLines/>
      <w:spacing w:before="200" w:after="0"/>
      <w:outlineLvl w:val="7"/>
    </w:pPr>
    <w:rPr>
      <w:rFonts w:eastAsia="Times New Roman" w:cs="Times New Roman"/>
      <w:color w:val="404040"/>
      <w:sz w:val="20"/>
      <w:szCs w:val="20"/>
    </w:rPr>
  </w:style>
  <w:style w:type="paragraph" w:styleId="Heading9">
    <w:name w:val="heading 9"/>
    <w:basedOn w:val="Normal"/>
    <w:next w:val="Normal"/>
    <w:link w:val="Heading9Char"/>
    <w:uiPriority w:val="9"/>
    <w:semiHidden/>
    <w:unhideWhenUsed/>
    <w:qFormat/>
    <w:rsid w:val="00E230DC"/>
    <w:pPr>
      <w:keepNext/>
      <w:keepLines/>
      <w:spacing w:before="200" w:after="0"/>
      <w:outlineLvl w:val="8"/>
    </w:pPr>
    <w:rPr>
      <w:rFonts w:eastAsia="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8E2"/>
    <w:pPr>
      <w:tabs>
        <w:tab w:val="center" w:pos="4513"/>
        <w:tab w:val="right" w:pos="9026"/>
      </w:tabs>
    </w:pPr>
  </w:style>
  <w:style w:type="character" w:customStyle="1" w:styleId="HeaderChar">
    <w:name w:val="Header Char"/>
    <w:basedOn w:val="DefaultParagraphFont"/>
    <w:link w:val="Header"/>
    <w:uiPriority w:val="99"/>
    <w:rsid w:val="00D318E2"/>
  </w:style>
  <w:style w:type="paragraph" w:styleId="Footer">
    <w:name w:val="footer"/>
    <w:basedOn w:val="Normal"/>
    <w:link w:val="FooterChar"/>
    <w:uiPriority w:val="99"/>
    <w:unhideWhenUsed/>
    <w:rsid w:val="00D318E2"/>
    <w:pPr>
      <w:tabs>
        <w:tab w:val="center" w:pos="4513"/>
        <w:tab w:val="right" w:pos="9026"/>
      </w:tabs>
    </w:pPr>
  </w:style>
  <w:style w:type="character" w:customStyle="1" w:styleId="FooterChar">
    <w:name w:val="Footer Char"/>
    <w:basedOn w:val="DefaultParagraphFont"/>
    <w:link w:val="Footer"/>
    <w:uiPriority w:val="99"/>
    <w:rsid w:val="00D318E2"/>
  </w:style>
  <w:style w:type="character" w:customStyle="1" w:styleId="Heading1Char">
    <w:name w:val="Heading 1 Char"/>
    <w:basedOn w:val="DefaultParagraphFont"/>
    <w:link w:val="Heading1"/>
    <w:uiPriority w:val="9"/>
    <w:rsid w:val="00BD6A68"/>
    <w:rPr>
      <w:rFonts w:eastAsiaTheme="majorEastAsia" w:cs="Calibri"/>
      <w:bCs/>
      <w:color w:val="A79F53"/>
      <w:sz w:val="44"/>
      <w:szCs w:val="32"/>
    </w:rPr>
  </w:style>
  <w:style w:type="paragraph" w:customStyle="1" w:styleId="Bullets">
    <w:name w:val="Bullets"/>
    <w:basedOn w:val="ListParagraph"/>
    <w:link w:val="BulletsChar"/>
    <w:qFormat/>
    <w:rsid w:val="00AE5194"/>
    <w:pPr>
      <w:numPr>
        <w:numId w:val="5"/>
      </w:numPr>
      <w:ind w:left="641" w:hanging="357"/>
    </w:pPr>
    <w:rPr>
      <w:rFonts w:asciiTheme="minorHAnsi" w:hAnsiTheme="minorHAnsi"/>
    </w:rPr>
  </w:style>
  <w:style w:type="character" w:customStyle="1" w:styleId="BulletsChar">
    <w:name w:val="Bullets Char"/>
    <w:basedOn w:val="DefaultParagraphFont"/>
    <w:link w:val="Bullets"/>
    <w:rsid w:val="00AE5194"/>
    <w:rPr>
      <w:rFonts w:asciiTheme="minorHAnsi" w:hAnsiTheme="minorHAnsi" w:cs="Segoe UI"/>
      <w:sz w:val="22"/>
      <w:szCs w:val="22"/>
    </w:rPr>
  </w:style>
  <w:style w:type="paragraph" w:styleId="ListParagraph">
    <w:name w:val="List Paragraph"/>
    <w:basedOn w:val="Normal"/>
    <w:uiPriority w:val="34"/>
    <w:qFormat/>
    <w:rsid w:val="00E230DC"/>
    <w:pPr>
      <w:ind w:left="720"/>
      <w:contextualSpacing/>
    </w:pPr>
  </w:style>
  <w:style w:type="paragraph" w:customStyle="1" w:styleId="ItemHeading">
    <w:name w:val="Item Heading"/>
    <w:basedOn w:val="Normal"/>
    <w:qFormat/>
    <w:rsid w:val="002C6766"/>
    <w:rPr>
      <w:b/>
      <w:color w:val="BFB97F"/>
    </w:rPr>
  </w:style>
  <w:style w:type="paragraph" w:customStyle="1" w:styleId="HeaderText">
    <w:name w:val="Header Text"/>
    <w:basedOn w:val="Normal"/>
    <w:qFormat/>
    <w:rsid w:val="004E6ABD"/>
    <w:rPr>
      <w:b/>
      <w:sz w:val="20"/>
    </w:rPr>
  </w:style>
  <w:style w:type="paragraph" w:customStyle="1" w:styleId="FooterText">
    <w:name w:val="Footer Text"/>
    <w:basedOn w:val="HeaderText"/>
    <w:qFormat/>
    <w:rsid w:val="004E6ABD"/>
    <w:pPr>
      <w:spacing w:after="0"/>
    </w:pPr>
    <w:rPr>
      <w:color w:val="FFFFFF" w:themeColor="background1"/>
    </w:rPr>
  </w:style>
  <w:style w:type="paragraph" w:customStyle="1" w:styleId="InsideTablesHeading">
    <w:name w:val="Inside Tables Heading"/>
    <w:basedOn w:val="Normal"/>
    <w:qFormat/>
    <w:rsid w:val="00E230DC"/>
    <w:pPr>
      <w:tabs>
        <w:tab w:val="left" w:pos="2160"/>
      </w:tabs>
      <w:spacing w:before="60" w:after="60"/>
      <w:ind w:left="2160" w:hanging="2160"/>
    </w:pPr>
    <w:rPr>
      <w:b/>
      <w:bCs/>
    </w:rPr>
  </w:style>
  <w:style w:type="paragraph" w:customStyle="1" w:styleId="Numbering">
    <w:name w:val="Numbering"/>
    <w:basedOn w:val="ListParagraph"/>
    <w:qFormat/>
    <w:rsid w:val="00E230DC"/>
    <w:pPr>
      <w:numPr>
        <w:numId w:val="4"/>
      </w:numPr>
    </w:pPr>
  </w:style>
  <w:style w:type="character" w:customStyle="1" w:styleId="Heading2Char">
    <w:name w:val="Heading 2 Char"/>
    <w:basedOn w:val="DefaultParagraphFont"/>
    <w:link w:val="Heading2"/>
    <w:uiPriority w:val="9"/>
    <w:rsid w:val="00FD48AA"/>
    <w:rPr>
      <w:rFonts w:cs="Segoe UI"/>
      <w:color w:val="A79F53"/>
      <w:sz w:val="28"/>
      <w:szCs w:val="28"/>
    </w:rPr>
  </w:style>
  <w:style w:type="character" w:customStyle="1" w:styleId="Heading3Char">
    <w:name w:val="Heading 3 Char"/>
    <w:basedOn w:val="DefaultParagraphFont"/>
    <w:link w:val="Heading3"/>
    <w:uiPriority w:val="9"/>
    <w:rsid w:val="00FD48AA"/>
    <w:rPr>
      <w:rFonts w:cs="Segoe UI"/>
      <w:i/>
      <w:color w:val="A79F53"/>
      <w:sz w:val="24"/>
      <w:szCs w:val="28"/>
    </w:rPr>
  </w:style>
  <w:style w:type="character" w:customStyle="1" w:styleId="Heading4Char">
    <w:name w:val="Heading 4 Char"/>
    <w:basedOn w:val="DefaultParagraphFont"/>
    <w:link w:val="Heading4"/>
    <w:uiPriority w:val="9"/>
    <w:rsid w:val="00E230DC"/>
    <w:rPr>
      <w:rFonts w:cs="Segoe UI"/>
      <w:i/>
      <w:sz w:val="24"/>
    </w:rPr>
  </w:style>
  <w:style w:type="character" w:customStyle="1" w:styleId="Heading5Char">
    <w:name w:val="Heading 5 Char"/>
    <w:basedOn w:val="DefaultParagraphFont"/>
    <w:link w:val="Heading5"/>
    <w:uiPriority w:val="9"/>
    <w:rsid w:val="00E230DC"/>
    <w:rPr>
      <w:rFonts w:eastAsia="Times New Roman" w:cs="Segoe UI"/>
      <w:u w:val="single"/>
    </w:rPr>
  </w:style>
  <w:style w:type="character" w:customStyle="1" w:styleId="Heading7Char">
    <w:name w:val="Heading 7 Char"/>
    <w:basedOn w:val="DefaultParagraphFont"/>
    <w:link w:val="Heading7"/>
    <w:uiPriority w:val="9"/>
    <w:semiHidden/>
    <w:rsid w:val="00E230DC"/>
    <w:rPr>
      <w:rFonts w:eastAsia="Times New Roman"/>
      <w:i/>
      <w:iCs/>
      <w:color w:val="404040"/>
    </w:rPr>
  </w:style>
  <w:style w:type="character" w:customStyle="1" w:styleId="Heading8Char">
    <w:name w:val="Heading 8 Char"/>
    <w:basedOn w:val="DefaultParagraphFont"/>
    <w:link w:val="Heading8"/>
    <w:uiPriority w:val="9"/>
    <w:semiHidden/>
    <w:rsid w:val="00E230DC"/>
    <w:rPr>
      <w:rFonts w:eastAsia="Times New Roman"/>
      <w:color w:val="404040"/>
    </w:rPr>
  </w:style>
  <w:style w:type="character" w:customStyle="1" w:styleId="Heading9Char">
    <w:name w:val="Heading 9 Char"/>
    <w:basedOn w:val="DefaultParagraphFont"/>
    <w:link w:val="Heading9"/>
    <w:uiPriority w:val="9"/>
    <w:semiHidden/>
    <w:rsid w:val="00E230DC"/>
    <w:rPr>
      <w:rFonts w:eastAsia="Times New Roman"/>
      <w:i/>
      <w:iCs/>
      <w:color w:val="404040"/>
    </w:rPr>
  </w:style>
  <w:style w:type="paragraph" w:styleId="Caption">
    <w:name w:val="caption"/>
    <w:basedOn w:val="Normal"/>
    <w:next w:val="Normal"/>
    <w:uiPriority w:val="35"/>
    <w:semiHidden/>
    <w:unhideWhenUsed/>
    <w:qFormat/>
    <w:rsid w:val="00E230DC"/>
    <w:pPr>
      <w:spacing w:after="200" w:line="240" w:lineRule="auto"/>
    </w:pPr>
    <w:rPr>
      <w:b/>
      <w:bCs/>
      <w:color w:val="4F81BD"/>
      <w:sz w:val="18"/>
      <w:szCs w:val="18"/>
    </w:rPr>
  </w:style>
  <w:style w:type="paragraph" w:styleId="Title">
    <w:name w:val="Title"/>
    <w:basedOn w:val="Normal"/>
    <w:next w:val="Normal"/>
    <w:link w:val="TitleChar"/>
    <w:uiPriority w:val="99"/>
    <w:qFormat/>
    <w:rsid w:val="009362E1"/>
    <w:pPr>
      <w:spacing w:before="720" w:after="240"/>
    </w:pPr>
    <w:rPr>
      <w:rFonts w:cs="Calibri"/>
      <w:color w:val="FFFFFF" w:themeColor="background1"/>
      <w:sz w:val="56"/>
      <w:szCs w:val="72"/>
    </w:rPr>
  </w:style>
  <w:style w:type="character" w:customStyle="1" w:styleId="TitleChar">
    <w:name w:val="Title Char"/>
    <w:basedOn w:val="DefaultParagraphFont"/>
    <w:link w:val="Title"/>
    <w:uiPriority w:val="99"/>
    <w:rsid w:val="009362E1"/>
    <w:rPr>
      <w:rFonts w:cs="Calibri"/>
      <w:color w:val="FFFFFF" w:themeColor="background1"/>
      <w:sz w:val="56"/>
      <w:szCs w:val="72"/>
    </w:rPr>
  </w:style>
  <w:style w:type="paragraph" w:styleId="Subtitle">
    <w:name w:val="Subtitle"/>
    <w:basedOn w:val="Normal"/>
    <w:next w:val="Normal"/>
    <w:link w:val="SubtitleChar"/>
    <w:uiPriority w:val="11"/>
    <w:qFormat/>
    <w:rsid w:val="002C6766"/>
    <w:rPr>
      <w:b/>
      <w:color w:val="BFB97F"/>
      <w:sz w:val="32"/>
      <w:szCs w:val="20"/>
    </w:rPr>
  </w:style>
  <w:style w:type="character" w:customStyle="1" w:styleId="SubtitleChar">
    <w:name w:val="Subtitle Char"/>
    <w:basedOn w:val="DefaultParagraphFont"/>
    <w:link w:val="Subtitle"/>
    <w:uiPriority w:val="11"/>
    <w:rsid w:val="002C6766"/>
    <w:rPr>
      <w:rFonts w:cs="Segoe UI"/>
      <w:b/>
      <w:color w:val="BFB97F"/>
      <w:sz w:val="32"/>
    </w:rPr>
  </w:style>
  <w:style w:type="character" w:styleId="Strong">
    <w:name w:val="Strong"/>
    <w:basedOn w:val="DefaultParagraphFont"/>
    <w:uiPriority w:val="22"/>
    <w:qFormat/>
    <w:rsid w:val="00E230DC"/>
    <w:rPr>
      <w:b/>
      <w:bCs/>
    </w:rPr>
  </w:style>
  <w:style w:type="character" w:styleId="Emphasis">
    <w:name w:val="Emphasis"/>
    <w:uiPriority w:val="20"/>
    <w:qFormat/>
    <w:rsid w:val="00E230DC"/>
    <w:rPr>
      <w:rFonts w:ascii="Calibri" w:hAnsi="Calibri" w:cs="Segoe UI"/>
      <w:color w:val="000000"/>
      <w:spacing w:val="30"/>
    </w:rPr>
  </w:style>
  <w:style w:type="paragraph" w:styleId="NoSpacing">
    <w:name w:val="No Spacing"/>
    <w:basedOn w:val="Normal"/>
    <w:link w:val="NoSpacingChar"/>
    <w:uiPriority w:val="1"/>
    <w:qFormat/>
    <w:rsid w:val="00E230DC"/>
    <w:pPr>
      <w:spacing w:after="0" w:line="240" w:lineRule="auto"/>
    </w:pPr>
    <w:rPr>
      <w:rFonts w:cs="Times New Roman"/>
      <w:sz w:val="20"/>
      <w:szCs w:val="20"/>
    </w:rPr>
  </w:style>
  <w:style w:type="character" w:customStyle="1" w:styleId="NoSpacingChar">
    <w:name w:val="No Spacing Char"/>
    <w:link w:val="NoSpacing"/>
    <w:uiPriority w:val="99"/>
    <w:rsid w:val="00E230DC"/>
  </w:style>
  <w:style w:type="paragraph" w:styleId="Quote">
    <w:name w:val="Quote"/>
    <w:basedOn w:val="Normal"/>
    <w:next w:val="Normal"/>
    <w:link w:val="QuoteChar"/>
    <w:uiPriority w:val="29"/>
    <w:qFormat/>
    <w:rsid w:val="00E230DC"/>
    <w:rPr>
      <w:i/>
      <w:iCs/>
      <w:color w:val="000000"/>
      <w:sz w:val="20"/>
      <w:szCs w:val="20"/>
    </w:rPr>
  </w:style>
  <w:style w:type="character" w:customStyle="1" w:styleId="QuoteChar">
    <w:name w:val="Quote Char"/>
    <w:basedOn w:val="DefaultParagraphFont"/>
    <w:link w:val="Quote"/>
    <w:uiPriority w:val="29"/>
    <w:rsid w:val="00E230DC"/>
    <w:rPr>
      <w:rFonts w:cs="Segoe UI"/>
      <w:i/>
      <w:iCs/>
      <w:color w:val="000000"/>
    </w:rPr>
  </w:style>
  <w:style w:type="character" w:styleId="SubtleEmphasis">
    <w:name w:val="Subtle Emphasis"/>
    <w:basedOn w:val="DefaultParagraphFont"/>
    <w:uiPriority w:val="19"/>
    <w:qFormat/>
    <w:rsid w:val="00E230DC"/>
    <w:rPr>
      <w:rFonts w:ascii="Calibri" w:hAnsi="Calibri"/>
      <w:i/>
      <w:iCs/>
      <w:color w:val="808080"/>
    </w:rPr>
  </w:style>
  <w:style w:type="paragraph" w:styleId="TOCHeading">
    <w:name w:val="TOC Heading"/>
    <w:basedOn w:val="Heading1"/>
    <w:next w:val="Normal"/>
    <w:uiPriority w:val="39"/>
    <w:semiHidden/>
    <w:unhideWhenUsed/>
    <w:qFormat/>
    <w:rsid w:val="00E230DC"/>
    <w:pPr>
      <w:spacing w:before="480" w:after="0"/>
      <w:outlineLvl w:val="9"/>
    </w:pPr>
    <w:rPr>
      <w:rFonts w:ascii="Cambria" w:eastAsia="Times New Roman" w:hAnsi="Cambria" w:cs="Times New Roman"/>
      <w:b/>
      <w:color w:val="365F91"/>
      <w:sz w:val="28"/>
      <w:szCs w:val="28"/>
    </w:rPr>
  </w:style>
  <w:style w:type="table" w:styleId="TableGrid">
    <w:name w:val="Table Grid"/>
    <w:basedOn w:val="TableNormal"/>
    <w:uiPriority w:val="59"/>
    <w:rsid w:val="00FD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D48AA"/>
    <w:rPr>
      <w:color w:val="754E4E" w:themeColor="accent6" w:themeShade="BF"/>
    </w:rPr>
    <w:tblPr>
      <w:tblStyleRowBandSize w:val="1"/>
      <w:tblStyleColBandSize w:val="1"/>
      <w:tblBorders>
        <w:top w:val="single" w:sz="8" w:space="0" w:color="9C6A6A" w:themeColor="accent6"/>
        <w:bottom w:val="single" w:sz="8" w:space="0" w:color="9C6A6A" w:themeColor="accent6"/>
      </w:tblBorders>
    </w:tblPr>
    <w:tblStylePr w:type="fir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la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left w:val="nil"/>
          <w:right w:val="nil"/>
          <w:insideH w:val="nil"/>
          <w:insideV w:val="nil"/>
        </w:tcBorders>
        <w:shd w:val="clear" w:color="auto" w:fill="E6DADA" w:themeFill="accent6" w:themeFillTint="3F"/>
      </w:tcPr>
    </w:tblStylePr>
  </w:style>
  <w:style w:type="table" w:styleId="MediumShading1-Accent6">
    <w:name w:val="Medium Shading 1 Accent 6"/>
    <w:basedOn w:val="TableNormal"/>
    <w:uiPriority w:val="63"/>
    <w:rsid w:val="00FD48AA"/>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tblBorders>
    </w:tblPr>
    <w:tblStylePr w:type="firstRow">
      <w:pPr>
        <w:spacing w:before="0" w:after="0" w:line="240" w:lineRule="auto"/>
      </w:pPr>
      <w:rPr>
        <w:b/>
        <w:bCs/>
        <w:color w:val="FFFFFF" w:themeColor="background1"/>
      </w:rPr>
      <w:tblPr/>
      <w:tcPr>
        <w:tc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shd w:val="clear" w:color="auto" w:fill="9C6A6A" w:themeFill="accent6"/>
      </w:tcPr>
    </w:tblStylePr>
    <w:tblStylePr w:type="lastRow">
      <w:pPr>
        <w:spacing w:before="0" w:after="0" w:line="240" w:lineRule="auto"/>
      </w:pPr>
      <w:rPr>
        <w:b/>
        <w:bCs/>
      </w:rPr>
      <w:tblPr/>
      <w:tcPr>
        <w:tcBorders>
          <w:top w:val="double" w:sz="6"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ADA" w:themeFill="accent6" w:themeFillTint="3F"/>
      </w:tcPr>
    </w:tblStylePr>
    <w:tblStylePr w:type="band1Horz">
      <w:tblPr/>
      <w:tcPr>
        <w:tcBorders>
          <w:insideH w:val="nil"/>
          <w:insideV w:val="nil"/>
        </w:tcBorders>
        <w:shd w:val="clear" w:color="auto" w:fill="E6DADA"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FD48AA"/>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pPr>
        <w:spacing w:before="0" w:after="0" w:line="240" w:lineRule="auto"/>
      </w:pPr>
      <w:rPr>
        <w:b/>
        <w:bCs/>
        <w:color w:val="FFFFFF" w:themeColor="background1"/>
      </w:rPr>
      <w:tblPr/>
      <w:tcPr>
        <w:shd w:val="clear" w:color="auto" w:fill="9C6A6A" w:themeFill="accent6"/>
      </w:tcPr>
    </w:tblStylePr>
    <w:tblStylePr w:type="lastRow">
      <w:pPr>
        <w:spacing w:before="0" w:after="0" w:line="240" w:lineRule="auto"/>
      </w:pPr>
      <w:rPr>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tcBorders>
      </w:tcPr>
    </w:tblStylePr>
    <w:tblStylePr w:type="firstCol">
      <w:rPr>
        <w:b/>
        <w:bCs/>
      </w:rPr>
    </w:tblStylePr>
    <w:tblStylePr w:type="lastCol">
      <w:rPr>
        <w:b/>
        <w:bCs/>
      </w:r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style>
  <w:style w:type="paragraph" w:styleId="BalloonText">
    <w:name w:val="Balloon Text"/>
    <w:basedOn w:val="Normal"/>
    <w:link w:val="BalloonTextChar"/>
    <w:uiPriority w:val="99"/>
    <w:semiHidden/>
    <w:unhideWhenUsed/>
    <w:rsid w:val="002A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BA0"/>
    <w:rPr>
      <w:rFonts w:ascii="Tahoma" w:hAnsi="Tahoma" w:cs="Tahoma"/>
      <w:sz w:val="16"/>
      <w:szCs w:val="16"/>
    </w:rPr>
  </w:style>
  <w:style w:type="paragraph" w:customStyle="1" w:styleId="Bullet2">
    <w:name w:val="Bullet 2"/>
    <w:basedOn w:val="Bullets"/>
    <w:link w:val="Bullet2Char"/>
    <w:qFormat/>
    <w:rsid w:val="00AE5194"/>
    <w:pPr>
      <w:numPr>
        <w:numId w:val="6"/>
      </w:numPr>
      <w:ind w:left="1037" w:hanging="357"/>
    </w:pPr>
  </w:style>
  <w:style w:type="character" w:customStyle="1" w:styleId="Bullet2Char">
    <w:name w:val="Bullet 2 Char"/>
    <w:basedOn w:val="BulletsChar"/>
    <w:link w:val="Bullet2"/>
    <w:rsid w:val="00AE5194"/>
    <w:rPr>
      <w:rFonts w:asciiTheme="minorHAnsi" w:hAnsiTheme="minorHAnsi" w:cs="Segoe UI"/>
      <w:sz w:val="22"/>
      <w:szCs w:val="22"/>
    </w:rPr>
  </w:style>
  <w:style w:type="table" w:customStyle="1" w:styleId="TableGrid1">
    <w:name w:val="Table Grid1"/>
    <w:basedOn w:val="TableNormal"/>
    <w:next w:val="TableGrid"/>
    <w:uiPriority w:val="59"/>
    <w:rsid w:val="005201CE"/>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33007"/>
    <w:pPr>
      <w:spacing w:after="0" w:line="240" w:lineRule="auto"/>
      <w:jc w:val="left"/>
    </w:pPr>
    <w:rPr>
      <w:rFonts w:ascii="Arial" w:eastAsiaTheme="minorHAnsi" w:hAnsi="Arial" w:cstheme="minorBidi"/>
      <w:sz w:val="20"/>
      <w:szCs w:val="24"/>
    </w:rPr>
  </w:style>
  <w:style w:type="character" w:customStyle="1" w:styleId="BodyTextChar">
    <w:name w:val="Body Text Char"/>
    <w:basedOn w:val="DefaultParagraphFont"/>
    <w:link w:val="BodyText"/>
    <w:uiPriority w:val="99"/>
    <w:rsid w:val="00933007"/>
    <w:rPr>
      <w:rFonts w:ascii="Arial" w:eastAsiaTheme="minorHAnsi" w:hAnsi="Arial" w:cstheme="minorBidi"/>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352A-C42B-48C0-AF9F-E1CC8779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18</Pages>
  <Words>4775</Words>
  <Characters>27223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DHB Shared Services</Company>
  <LinksUpToDate>false</LinksUpToDate>
  <CharactersWithSpaces>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Ferguson</dc:creator>
  <cp:lastModifiedBy>Emma Williams - CCDM [CCDHB]</cp:lastModifiedBy>
  <cp:revision>40</cp:revision>
  <cp:lastPrinted>2020-06-15T21:29:00Z</cp:lastPrinted>
  <dcterms:created xsi:type="dcterms:W3CDTF">2020-06-08T23:50:00Z</dcterms:created>
  <dcterms:modified xsi:type="dcterms:W3CDTF">2020-08-31T21:20:00Z</dcterms:modified>
</cp:coreProperties>
</file>